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2020年1—</w:t>
      </w:r>
      <w:r>
        <w:rPr>
          <w:rFonts w:hint="eastAsia" w:eastAsia="方正小标宋_GBK"/>
          <w:kern w:val="0"/>
          <w:sz w:val="44"/>
          <w:szCs w:val="44"/>
        </w:rPr>
        <w:t>10</w:t>
      </w:r>
      <w:r>
        <w:rPr>
          <w:rFonts w:eastAsia="方正小标宋_GBK"/>
          <w:kern w:val="0"/>
          <w:sz w:val="44"/>
          <w:szCs w:val="44"/>
        </w:rPr>
        <w:t>月全</w:t>
      </w:r>
      <w:r>
        <w:rPr>
          <w:rFonts w:eastAsia="方正小标宋简体"/>
          <w:kern w:val="0"/>
          <w:sz w:val="44"/>
          <w:szCs w:val="44"/>
        </w:rPr>
        <w:t>市环境空气污染物浓度统计表</w:t>
      </w:r>
    </w:p>
    <w:bookmarkEnd w:id="0"/>
    <w:tbl>
      <w:tblPr>
        <w:tblStyle w:val="4"/>
        <w:tblW w:w="137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349"/>
        <w:gridCol w:w="1249"/>
        <w:gridCol w:w="1271"/>
        <w:gridCol w:w="1249"/>
        <w:gridCol w:w="1540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-8h90百分位（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CO95百分位（</w:t>
            </w:r>
            <w:r>
              <w:rPr>
                <w:szCs w:val="21"/>
              </w:rPr>
              <w:t>mg/m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是否达标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25.8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47.8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3.18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42.1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2.98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27.6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49.1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3.21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3.04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3.02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22.9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2.68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49.9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128.6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2.72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94.4%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41.0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132.6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2.95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2.67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</w:tbl>
    <w:p>
      <w:pPr>
        <w:pStyle w:val="6"/>
        <w:spacing w:line="600" w:lineRule="exact"/>
        <w:rPr>
          <w:rFonts w:hint="eastAsia" w:ascii="Times New Roman" w:hAnsi="Times New Roman" w:cs="Times New Roman"/>
        </w:rPr>
        <w:sectPr>
          <w:pgSz w:w="16781" w:h="11849" w:orient="landscape"/>
          <w:pgMar w:top="1701" w:right="1474" w:bottom="1701" w:left="1587" w:header="720" w:footer="1304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5622"/>
    <w:rsid w:val="0F6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2020-12-18T12:26:00Z</dcterms:created>
  <dc:creator>果丹皮1407393190</dc:creator>
  <cp:lastModifiedBy>果丹皮1407393190</cp:lastModifiedBy>
  <dcterms:modified xsi:type="dcterms:W3CDTF">2020-12-18T12:26:49Z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