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A2" w:rsidRPr="00D1439A" w:rsidRDefault="006E27A2" w:rsidP="006E27A2">
      <w:pPr>
        <w:rPr>
          <w:rFonts w:ascii="仿宋_GB2312" w:eastAsia="仿宋_GB2312"/>
          <w:b/>
          <w:sz w:val="28"/>
          <w:szCs w:val="28"/>
        </w:rPr>
      </w:pPr>
      <w:r w:rsidRPr="00D1439A">
        <w:rPr>
          <w:rFonts w:ascii="仿宋_GB2312" w:eastAsia="仿宋_GB2312" w:hint="eastAsia"/>
          <w:b/>
          <w:sz w:val="28"/>
          <w:szCs w:val="28"/>
        </w:rPr>
        <w:t>附件</w:t>
      </w:r>
      <w:r>
        <w:rPr>
          <w:rFonts w:ascii="仿宋_GB2312" w:eastAsia="仿宋_GB2312" w:hint="eastAsia"/>
          <w:b/>
          <w:sz w:val="28"/>
          <w:szCs w:val="28"/>
        </w:rPr>
        <w:t>5：</w:t>
      </w:r>
    </w:p>
    <w:p w:rsidR="006E27A2" w:rsidRPr="00D1439A" w:rsidRDefault="006E27A2" w:rsidP="006E27A2">
      <w:pPr>
        <w:jc w:val="center"/>
        <w:rPr>
          <w:rFonts w:asciiTheme="majorEastAsia" w:eastAsiaTheme="majorEastAsia" w:hAnsiTheme="majorEastAsia"/>
          <w:b/>
          <w:sz w:val="36"/>
          <w:szCs w:val="36"/>
        </w:rPr>
      </w:pPr>
      <w:r>
        <w:rPr>
          <w:rFonts w:asciiTheme="majorEastAsia" w:eastAsiaTheme="majorEastAsia" w:hAnsiTheme="majorEastAsia"/>
          <w:b/>
          <w:sz w:val="36"/>
          <w:szCs w:val="36"/>
        </w:rPr>
        <w:t>2020</w:t>
      </w:r>
      <w:r w:rsidRPr="00D1439A">
        <w:rPr>
          <w:rFonts w:asciiTheme="majorEastAsia" w:eastAsiaTheme="majorEastAsia" w:hAnsiTheme="majorEastAsia" w:hint="eastAsia"/>
          <w:b/>
          <w:sz w:val="36"/>
          <w:szCs w:val="36"/>
        </w:rPr>
        <w:t>年遂宁市重点排污单位</w:t>
      </w:r>
      <w:r>
        <w:rPr>
          <w:rFonts w:asciiTheme="majorEastAsia" w:eastAsiaTheme="majorEastAsia" w:hAnsiTheme="majorEastAsia" w:hint="eastAsia"/>
          <w:b/>
          <w:sz w:val="36"/>
          <w:szCs w:val="36"/>
        </w:rPr>
        <w:t>执法</w:t>
      </w:r>
      <w:r w:rsidRPr="00D1439A">
        <w:rPr>
          <w:rFonts w:asciiTheme="majorEastAsia" w:eastAsiaTheme="majorEastAsia" w:hAnsiTheme="majorEastAsia" w:hint="eastAsia"/>
          <w:b/>
          <w:sz w:val="36"/>
          <w:szCs w:val="36"/>
        </w:rPr>
        <w:t>监测废水监测结果</w:t>
      </w:r>
    </w:p>
    <w:tbl>
      <w:tblPr>
        <w:tblW w:w="5000" w:type="pct"/>
        <w:tblLook w:val="04A0"/>
      </w:tblPr>
      <w:tblGrid>
        <w:gridCol w:w="958"/>
        <w:gridCol w:w="1701"/>
        <w:gridCol w:w="4680"/>
        <w:gridCol w:w="1701"/>
        <w:gridCol w:w="1134"/>
        <w:gridCol w:w="992"/>
        <w:gridCol w:w="1134"/>
        <w:gridCol w:w="848"/>
        <w:gridCol w:w="1026"/>
      </w:tblGrid>
      <w:tr w:rsidR="006E27A2" w:rsidRPr="00BB2224" w:rsidTr="006E3F7F">
        <w:trPr>
          <w:trHeight w:val="34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企业名称</w:t>
            </w:r>
          </w:p>
        </w:tc>
        <w:tc>
          <w:tcPr>
            <w:tcW w:w="600"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执行标准名称</w:t>
            </w:r>
          </w:p>
        </w:tc>
        <w:tc>
          <w:tcPr>
            <w:tcW w:w="1651"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执行标准条目名称</w:t>
            </w:r>
          </w:p>
        </w:tc>
        <w:tc>
          <w:tcPr>
            <w:tcW w:w="600"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监测项目</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监测日期</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排放浓度</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标准限值</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单位</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b/>
                <w:kern w:val="0"/>
                <w:sz w:val="15"/>
                <w:szCs w:val="15"/>
              </w:rPr>
            </w:pPr>
            <w:r w:rsidRPr="00BB2224">
              <w:rPr>
                <w:rFonts w:ascii="Times New Roman" w:eastAsia="宋体" w:hAnsi="Times New Roman" w:cs="Times New Roman"/>
                <w:b/>
                <w:kern w:val="0"/>
                <w:sz w:val="15"/>
                <w:szCs w:val="15"/>
              </w:rPr>
              <w:t>是否超标</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遂宁富禹工业废水处理有限公司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Arial"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磷酸盐（以</w:t>
            </w:r>
            <w:r w:rsidRPr="00BB2224">
              <w:rPr>
                <w:rFonts w:ascii="Times New Roman" w:eastAsia="宋体" w:hAnsi="Times New Roman" w:cs="Times New Roman"/>
                <w:kern w:val="0"/>
                <w:sz w:val="15"/>
                <w:szCs w:val="15"/>
              </w:rPr>
              <w:t>P</w:t>
            </w:r>
            <w:r w:rsidRPr="00BB2224">
              <w:rPr>
                <w:rFonts w:ascii="Times New Roman" w:eastAsia="宋体" w:hAnsi="Arial"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Arial"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6.95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Arial"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Arial"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Arial"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Arial"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Arial"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0.789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城镇二级污水处理厂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氟化物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0.174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总铜</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）第一类污染物最高允许排放浓度</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总镍</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四川金湾电子有限责任公司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总镍</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4.41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6.64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总铜</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氟化物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0.900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2020-05-21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四川江淮汽车有限公司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总锌</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遂宁市新绿洲印染有限公司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0.172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7.85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四川沱牌舍得酒业股份有限公司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发酵酒精和白酒工业水污染物排放标准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现有和新建企业水污染物排放限值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2020-06-09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发酵酒精和白酒工业水污染物排放标准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现有和新建企业水污染物排放限值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2020-06-09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发酵酒精和白酒工业水污染物排放标准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现有和新建企业水污染物排放限值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2020-06-09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140-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发酵酒精和白酒工业水污染物排放标准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现有和新建企业水污染物排放限值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2020-06-09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发酵酒精和白酒工业水污染物排放标准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现有和新建企业水污染物排放限值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2020-06-09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7.55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遂宁水务投资有限责任公司（遂宁市城南第二污水处理厂）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0.166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7.43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遂宁云内动力机械制造有限公司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1997</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12</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31</w:t>
            </w:r>
            <w:r w:rsidRPr="00BB2224">
              <w:rPr>
                <w:rFonts w:ascii="Times New Roman" w:eastAsia="宋体" w:hAnsi="Times New Roman" w:cs="Times New Roman"/>
                <w:kern w:val="0"/>
                <w:sz w:val="15"/>
                <w:szCs w:val="15"/>
              </w:rPr>
              <w:t>日之前建的单位）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1997</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12</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31</w:t>
            </w:r>
            <w:r w:rsidRPr="00BB2224">
              <w:rPr>
                <w:rFonts w:ascii="Times New Roman" w:eastAsia="宋体" w:hAnsi="Times New Roman" w:cs="Times New Roman"/>
                <w:kern w:val="0"/>
                <w:sz w:val="15"/>
                <w:szCs w:val="15"/>
              </w:rPr>
              <w:t>日之前建的单位）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9.08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三级标准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总锌</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0.027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城镇二级污水处理厂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142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志超科技（遂宁）</w:t>
            </w:r>
            <w:r w:rsidRPr="00BB2224">
              <w:rPr>
                <w:rFonts w:ascii="Times New Roman" w:eastAsia="宋体" w:hAnsi="Times New Roman" w:cs="Times New Roman"/>
                <w:kern w:val="0"/>
                <w:sz w:val="15"/>
                <w:szCs w:val="15"/>
              </w:rPr>
              <w:lastRenderedPageBreak/>
              <w:t>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排气筒高度达到高出周围</w:t>
            </w:r>
            <w:r w:rsidRPr="00BB2224">
              <w:rPr>
                <w:rFonts w:ascii="Times New Roman" w:eastAsia="宋体" w:hAnsi="Times New Roman" w:cs="Times New Roman"/>
                <w:kern w:val="0"/>
                <w:sz w:val="15"/>
                <w:szCs w:val="15"/>
              </w:rPr>
              <w:t>200m</w:t>
            </w:r>
            <w:r w:rsidRPr="00BB2224">
              <w:rPr>
                <w:rFonts w:ascii="Times New Roman" w:eastAsia="宋体" w:hAnsi="Times New Roman" w:cs="Times New Roman"/>
                <w:kern w:val="0"/>
                <w:sz w:val="15"/>
                <w:szCs w:val="15"/>
              </w:rPr>
              <w:t>半径范围的建筑</w:t>
            </w:r>
            <w:r w:rsidRPr="00BB2224">
              <w:rPr>
                <w:rFonts w:ascii="Times New Roman" w:eastAsia="宋体" w:hAnsi="Times New Roman" w:cs="Times New Roman"/>
                <w:kern w:val="0"/>
                <w:sz w:val="15"/>
                <w:szCs w:val="15"/>
              </w:rPr>
              <w:t>5m</w:t>
            </w:r>
            <w:r w:rsidRPr="00BB2224">
              <w:rPr>
                <w:rFonts w:ascii="Times New Roman" w:eastAsia="宋体" w:hAnsi="Times New Roman" w:cs="Times New Roman"/>
                <w:kern w:val="0"/>
                <w:sz w:val="15"/>
                <w:szCs w:val="15"/>
              </w:rPr>
              <w:t>以上的要求</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5</w:t>
            </w:r>
            <w:r w:rsidRPr="00BB2224">
              <w:rPr>
                <w:rFonts w:ascii="Times New Roman" w:eastAsia="宋体" w:hAnsi="Times New Roman" w:cs="Times New Roman"/>
                <w:kern w:val="0"/>
                <w:sz w:val="15"/>
                <w:szCs w:val="15"/>
              </w:rPr>
              <w:t>）现有和新建企业大气污染排放限值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氟化物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0.192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mg/m3</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8.29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总铜</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0.115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1.31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7.44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总镍</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2020-05-18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遂宁水务投资有限责任公司（遂宁市城南第一污水处理厂）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4.52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蓬溪县辉达水务投资有限责任公司（来龙山污水处理厂）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7.70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0.135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遂宁市博华纺织有限公司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蓬溪县辉达水务投资有限责任公司（清源污水处理厂）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7.68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560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8.94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遂宁市锦程工业发展有限公司（安居城区第一生活污水处理厂）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7.48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0.037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0.208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0.40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四川喜之郎食品有限公司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三级标准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三级标准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三级标准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三级标准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2020-07-14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四川千何环境治理有限公司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0.90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7.30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0.932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四川隆泰环保工程有限公司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0.073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7.35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0.348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遂宁金红叶纸业有限公司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0.145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）水污染物特别排放限值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7.62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四川蜀峰印染有限公司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0.44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非蜡染行业间接排放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4.67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非蜡染行业间接排放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0.266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33.5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8.40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纺织染整工业水污染物排放标准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间接排放</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2020-09-01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遂宁市远明纸业有限公司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0.724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制浆与造纸联合生产企业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16.9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）水污染物特别排放限值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企业自产废纸浆量占企业制浆总用量的比重不大于</w:t>
            </w:r>
            <w:r w:rsidRPr="00BB2224">
              <w:rPr>
                <w:rFonts w:ascii="Times New Roman" w:eastAsia="宋体" w:hAnsi="Times New Roman" w:cs="Times New Roman"/>
                <w:kern w:val="0"/>
                <w:sz w:val="15"/>
                <w:szCs w:val="15"/>
              </w:rPr>
              <w:t>80%,</w:t>
            </w:r>
            <w:r w:rsidRPr="00BB2224">
              <w:rPr>
                <w:rFonts w:ascii="Times New Roman" w:eastAsia="宋体" w:hAnsi="Times New Roman" w:cs="Times New Roman"/>
                <w:kern w:val="0"/>
                <w:sz w:val="15"/>
                <w:szCs w:val="15"/>
              </w:rPr>
              <w:t>企业废水总排放口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7.82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2020-09-11</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四川省美林实业集团食品有限公司（下属：四川美宁食品有限公司和四川省美宁实业集团清真食品有限公司）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一级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肉制品加工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一级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肉制品加工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1989</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日至</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6</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30</w:t>
            </w:r>
            <w:r w:rsidRPr="00BB2224">
              <w:rPr>
                <w:rFonts w:ascii="Times New Roman" w:eastAsia="宋体" w:hAnsi="Times New Roman" w:cs="Times New Roman"/>
                <w:kern w:val="0"/>
                <w:sz w:val="15"/>
                <w:szCs w:val="15"/>
              </w:rPr>
              <w:t>日之间立项的建设项目及其建成后投产的企业最高允许排放浓度标准值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7.86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8.5-6.0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肉制品加工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三级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一级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肉制品加工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2020-09-10</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9.28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射洪县超强肉类食品有限责任公司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一级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肉制品加工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11.5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w:t>
            </w:r>
            <w:r w:rsidRPr="00BB2224">
              <w:rPr>
                <w:rFonts w:ascii="Times New Roman" w:eastAsia="宋体" w:hAnsi="Times New Roman" w:cs="Times New Roman"/>
                <w:kern w:val="0"/>
                <w:sz w:val="15"/>
                <w:szCs w:val="15"/>
              </w:rPr>
              <w:lastRenderedPageBreak/>
              <w:t>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二级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w:t>
            </w:r>
            <w:r w:rsidRPr="00BB2224">
              <w:rPr>
                <w:rFonts w:ascii="Times New Roman" w:eastAsia="宋体" w:hAnsi="Times New Roman" w:cs="Times New Roman"/>
                <w:kern w:val="0"/>
                <w:sz w:val="15"/>
                <w:szCs w:val="15"/>
              </w:rPr>
              <w:lastRenderedPageBreak/>
              <w:t>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6.82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8.5-6.0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&lt;60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2020-10-19</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四川海英电子科技有限公司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总锌</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28.4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氟化物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0.246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8.17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9.5-6.5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总铜</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17.3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四川蓝彩电子科技有限公司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0.818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）水污染物特别排放限值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总镍</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四川水都纸业有限公司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w:t>
            </w:r>
            <w:r w:rsidRPr="00BB2224">
              <w:rPr>
                <w:rFonts w:ascii="Times New Roman" w:eastAsia="宋体" w:hAnsi="Times New Roman" w:cs="Times New Roman"/>
                <w:kern w:val="0"/>
                <w:sz w:val="15"/>
                <w:szCs w:val="15"/>
              </w:rPr>
              <w:lastRenderedPageBreak/>
              <w:t>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w:t>
            </w:r>
            <w:r w:rsidRPr="00BB2224">
              <w:rPr>
                <w:rFonts w:ascii="Times New Roman" w:eastAsia="宋体" w:hAnsi="Times New Roman" w:cs="Times New Roman"/>
                <w:kern w:val="0"/>
                <w:sz w:val="15"/>
                <w:szCs w:val="15"/>
              </w:rPr>
              <w:lastRenderedPageBreak/>
              <w:t>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1.48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制浆和造纸联合生产企业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企业自产废纸浆量占企业制浆总用量的比重大于</w:t>
            </w:r>
            <w:r w:rsidRPr="00BB2224">
              <w:rPr>
                <w:rFonts w:ascii="Times New Roman" w:eastAsia="宋体" w:hAnsi="Times New Roman" w:cs="Times New Roman"/>
                <w:kern w:val="0"/>
                <w:sz w:val="15"/>
                <w:szCs w:val="15"/>
              </w:rPr>
              <w:t>80%</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华润雪花啤酒（四川）有限责任公司遂宁分公司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预处理标准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预处理标准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7.92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预处理标准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0.181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预处理标准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啤酒工业污染物排放标准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啤酒企业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）啤酒生产企业水污染物排放最高允许限值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2020-10-22</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1.78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四川南方烽润食品有限公司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三级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7.72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8.5-6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遂宁市高</w:t>
            </w:r>
            <w:r w:rsidRPr="00BB2224">
              <w:rPr>
                <w:rFonts w:ascii="Times New Roman" w:eastAsia="宋体" w:hAnsi="Times New Roman" w:cs="Times New Roman"/>
                <w:kern w:val="0"/>
                <w:sz w:val="15"/>
                <w:szCs w:val="15"/>
              </w:rPr>
              <w:lastRenderedPageBreak/>
              <w:t>金食品有限公司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肉类加工工业水污染</w:t>
            </w:r>
            <w:r w:rsidRPr="00BB2224">
              <w:rPr>
                <w:rFonts w:ascii="Times New Roman" w:eastAsia="宋体" w:hAnsi="Times New Roman" w:cs="Times New Roman"/>
                <w:kern w:val="0"/>
                <w:sz w:val="15"/>
                <w:szCs w:val="15"/>
              </w:rPr>
              <w:lastRenderedPageBreak/>
              <w:t>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二级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w:t>
            </w:r>
            <w:r w:rsidRPr="00BB2224">
              <w:rPr>
                <w:rFonts w:ascii="Times New Roman" w:eastAsia="宋体" w:hAnsi="Times New Roman" w:cs="Times New Roman"/>
                <w:kern w:val="0"/>
                <w:sz w:val="15"/>
                <w:szCs w:val="15"/>
              </w:rPr>
              <w:lastRenderedPageBreak/>
              <w:t>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lastRenderedPageBreak/>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7.21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8.5-6.0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排放总量</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射洪河东隆泰环保工程有限公司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0.040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7.68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980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遂宁良泽科技有限公司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电镀污染物排放标准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车间或生产设施废水排放口</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总镍</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0.074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&lt;0.025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氟化物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0.63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三级标准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68.9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一切排污单位</w:t>
            </w:r>
            <w:r w:rsidRPr="00BB2224">
              <w:rPr>
                <w:rFonts w:ascii="Times New Roman" w:eastAsia="宋体" w:hAnsi="Times New Roman" w:cs="Times New Roman"/>
                <w:kern w:val="0"/>
                <w:sz w:val="15"/>
                <w:szCs w:val="15"/>
              </w:rPr>
              <w:t xml:space="preserve"> ,</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总铜</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0.138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总锌</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三级标准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6.67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9.5-6.5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污水排入城镇下水道水质标准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B</w:t>
            </w:r>
            <w:r w:rsidRPr="00BB2224">
              <w:rPr>
                <w:rFonts w:ascii="Times New Roman" w:eastAsia="宋体" w:hAnsi="Times New Roman" w:cs="Times New Roman"/>
                <w:kern w:val="0"/>
                <w:sz w:val="15"/>
                <w:szCs w:val="15"/>
              </w:rPr>
              <w:t>级</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污水排入城镇下水道水质控制项目限值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0.79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污水综合排放标准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三级标准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4</w:t>
            </w:r>
            <w:r w:rsidRPr="00BB2224">
              <w:rPr>
                <w:rFonts w:ascii="Times New Roman" w:eastAsia="宋体" w:hAnsi="Times New Roman" w:cs="Times New Roman"/>
                <w:kern w:val="0"/>
                <w:sz w:val="15"/>
                <w:szCs w:val="15"/>
              </w:rPr>
              <w:t>）第二类污染物最高允许排放浓度（</w:t>
            </w:r>
            <w:r w:rsidRPr="00BB2224">
              <w:rPr>
                <w:rFonts w:ascii="Times New Roman" w:eastAsia="宋体" w:hAnsi="Times New Roman" w:cs="Times New Roman"/>
                <w:kern w:val="0"/>
                <w:sz w:val="15"/>
                <w:szCs w:val="15"/>
              </w:rPr>
              <w:t>1998</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日后建的单位）</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其他排污单位</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2020-10-28</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400-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遂宁市明都纸业有限公司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7.77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0.136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制浆企业</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1.38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制浆造纸工业水污染物排放标准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其他</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造纸企业</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四川美青化工有限公司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）水污染物特别排放限值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直接排放限值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挥发酚</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0.143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7.95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四川省大英蓥峰化工有限责任公司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7.53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7.18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挥发酚</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2020-10-25</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射洪县洪达家鑫化工有限责任公司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7.22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挥发酚</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氰化物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0.2-</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0.043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硫化物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合成氨工业水污染物排放标准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直接排放限值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企业废水总排放口</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）现有和新建企业水污染物排放浓度限值及单位产品基准排水量</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2020-10-26</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12.7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四川虹桥食品有限公司</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7.83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8.5-6.0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&lt;0.025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肉类加工工业水污染物排放标准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畜类屠宰加工</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3</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1992</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7</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日起立项的建设项目及其建成后投产的企业最高允许排放浓度标准值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排放浓度</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2020-10-24</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蓬溪县辉达水务投资有限责任公司（来龙山污水处理厂）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0.31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7.70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0.135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&lt;20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二级标准（水温＞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2020-06-17</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19</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安居区龙眼井污水处理厂</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粪大肠菌群数</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975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1000-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个</w:t>
            </w:r>
            <w:r w:rsidRPr="00BB2224">
              <w:rPr>
                <w:rFonts w:ascii="Times New Roman" w:eastAsia="宋体" w:hAnsi="Times New Roman" w:cs="Times New Roman"/>
                <w:kern w:val="0"/>
                <w:sz w:val="15"/>
                <w:szCs w:val="15"/>
              </w:rPr>
              <w:t>/L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总氮（以</w:t>
            </w:r>
            <w:r w:rsidRPr="00BB2224">
              <w:rPr>
                <w:rFonts w:ascii="Times New Roman" w:eastAsia="宋体" w:hAnsi="Times New Roman" w:cs="Times New Roman"/>
                <w:kern w:val="0"/>
                <w:sz w:val="15"/>
                <w:szCs w:val="15"/>
              </w:rPr>
              <w:t>N</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14.2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总镉</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色度</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30-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倍</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六价铬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五日生化需氧量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2006</w:t>
            </w:r>
            <w:r w:rsidRPr="00BB2224">
              <w:rPr>
                <w:rFonts w:ascii="Times New Roman" w:eastAsia="宋体" w:hAnsi="Times New Roman" w:cs="Times New Roman"/>
                <w:kern w:val="0"/>
                <w:sz w:val="15"/>
                <w:szCs w:val="15"/>
              </w:rPr>
              <w:t>年</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月</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日后建设</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总磷（以</w:t>
            </w:r>
            <w:r w:rsidRPr="00BB2224">
              <w:rPr>
                <w:rFonts w:ascii="Times New Roman" w:eastAsia="宋体" w:hAnsi="Times New Roman" w:cs="Times New Roman"/>
                <w:kern w:val="0"/>
                <w:sz w:val="15"/>
                <w:szCs w:val="15"/>
              </w:rPr>
              <w:t>P</w:t>
            </w:r>
            <w:r w:rsidRPr="00BB2224">
              <w:rPr>
                <w:rFonts w:ascii="Times New Roman" w:eastAsia="宋体" w:hAnsi="Times New Roman" w:cs="Times New Roman"/>
                <w:kern w:val="0"/>
                <w:sz w:val="15"/>
                <w:szCs w:val="15"/>
              </w:rPr>
              <w:t>计）</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0.42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氨氮（</w:t>
            </w:r>
            <w:r w:rsidRPr="00BB2224">
              <w:rPr>
                <w:rFonts w:ascii="Times New Roman" w:eastAsia="宋体" w:hAnsi="Times New Roman" w:cs="Times New Roman"/>
                <w:kern w:val="0"/>
                <w:sz w:val="15"/>
                <w:szCs w:val="15"/>
              </w:rPr>
              <w:t>NH3-N</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0.122</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5;8-</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总铅</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&lt;0.010</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阴离子表面活性剂（</w:t>
            </w:r>
            <w:r w:rsidRPr="00BB2224">
              <w:rPr>
                <w:rFonts w:ascii="Times New Roman" w:eastAsia="宋体" w:hAnsi="Times New Roman" w:cs="Times New Roman"/>
                <w:kern w:val="0"/>
                <w:sz w:val="15"/>
                <w:szCs w:val="15"/>
              </w:rPr>
              <w:t>LAS</w:t>
            </w:r>
            <w:r w:rsidRPr="00BB2224">
              <w:rPr>
                <w:rFonts w:ascii="Times New Roman" w:eastAsia="宋体" w:hAnsi="Times New Roman" w:cs="Times New Roman"/>
                <w:kern w:val="0"/>
                <w:sz w:val="15"/>
                <w:szCs w:val="15"/>
              </w:rPr>
              <w:t>）</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&lt;0.05</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0.5-</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总汞</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&lt;0.00004</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0.001-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动植物油</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悬浮物</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总铬</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&lt;0.01</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化学需氧量</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18</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50-</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2</w:t>
            </w:r>
            <w:r w:rsidRPr="00BB2224">
              <w:rPr>
                <w:rFonts w:ascii="Times New Roman" w:eastAsia="宋体" w:hAnsi="Times New Roman" w:cs="Times New Roman"/>
                <w:kern w:val="0"/>
                <w:sz w:val="15"/>
                <w:szCs w:val="15"/>
              </w:rPr>
              <w:t>）部分一类污染物最高允许排放浓度（日均值）</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总砷</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&lt;0.0003</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0.1-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pH</w:t>
            </w:r>
            <w:r w:rsidRPr="00BB2224">
              <w:rPr>
                <w:rFonts w:ascii="Times New Roman" w:eastAsia="宋体" w:hAnsi="Times New Roman" w:cs="Times New Roman"/>
                <w:kern w:val="0"/>
                <w:sz w:val="15"/>
                <w:szCs w:val="15"/>
              </w:rPr>
              <w:t>值</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7.47</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9-6</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无量纲</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r w:rsidR="006E27A2" w:rsidRPr="00BB2224" w:rsidTr="006E3F7F">
        <w:trPr>
          <w:trHeight w:val="340"/>
        </w:trPr>
        <w:tc>
          <w:tcPr>
            <w:tcW w:w="338" w:type="pct"/>
            <w:vMerge/>
            <w:tcBorders>
              <w:top w:val="nil"/>
              <w:left w:val="single" w:sz="4" w:space="0" w:color="auto"/>
              <w:bottom w:val="single" w:sz="4" w:space="0" w:color="auto"/>
              <w:right w:val="single" w:sz="4" w:space="0" w:color="auto"/>
            </w:tcBorders>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城镇污水处理厂污染物排放标准</w:t>
            </w:r>
          </w:p>
        </w:tc>
        <w:tc>
          <w:tcPr>
            <w:tcW w:w="1651"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通用</w:t>
            </w:r>
            <w:r w:rsidRPr="00BB2224">
              <w:rPr>
                <w:rFonts w:ascii="Times New Roman" w:eastAsia="宋体" w:hAnsi="Times New Roman" w:cs="Times New Roman"/>
                <w:kern w:val="0"/>
                <w:sz w:val="15"/>
                <w:szCs w:val="15"/>
              </w:rPr>
              <w:t>,A</w:t>
            </w:r>
            <w:r w:rsidRPr="00BB2224">
              <w:rPr>
                <w:rFonts w:ascii="Times New Roman" w:eastAsia="宋体" w:hAnsi="Times New Roman" w:cs="Times New Roman"/>
                <w:kern w:val="0"/>
                <w:sz w:val="15"/>
                <w:szCs w:val="15"/>
              </w:rPr>
              <w:t>标准</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（表</w:t>
            </w:r>
            <w:r w:rsidRPr="00BB2224">
              <w:rPr>
                <w:rFonts w:ascii="Times New Roman" w:eastAsia="宋体" w:hAnsi="Times New Roman" w:cs="Times New Roman"/>
                <w:kern w:val="0"/>
                <w:sz w:val="15"/>
                <w:szCs w:val="15"/>
              </w:rPr>
              <w:t>1</w:t>
            </w:r>
            <w:r w:rsidRPr="00BB2224">
              <w:rPr>
                <w:rFonts w:ascii="Times New Roman" w:eastAsia="宋体" w:hAnsi="Times New Roman" w:cs="Times New Roman"/>
                <w:kern w:val="0"/>
                <w:sz w:val="15"/>
                <w:szCs w:val="15"/>
              </w:rPr>
              <w:t>）基本控制项目最高允许排放浓度（日均值）</w:t>
            </w:r>
            <w:r w:rsidRPr="00BB2224">
              <w:rPr>
                <w:rFonts w:ascii="Times New Roman" w:eastAsia="宋体" w:hAnsi="Times New Roman" w:cs="Times New Roman"/>
                <w:kern w:val="0"/>
                <w:sz w:val="15"/>
                <w:szCs w:val="15"/>
              </w:rPr>
              <w:t>,</w:t>
            </w:r>
            <w:r w:rsidRPr="00BB2224">
              <w:rPr>
                <w:rFonts w:ascii="Times New Roman" w:eastAsia="宋体" w:hAnsi="Times New Roman" w:cs="Times New Roman"/>
                <w:kern w:val="0"/>
                <w:sz w:val="15"/>
                <w:szCs w:val="15"/>
              </w:rPr>
              <w:t>一级标准（水温＞</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或</w:t>
            </w:r>
            <w:r w:rsidRPr="00BB2224">
              <w:rPr>
                <w:rFonts w:ascii="Times New Roman" w:eastAsia="宋体" w:hAnsi="Times New Roman" w:cs="Times New Roman"/>
                <w:kern w:val="0"/>
                <w:sz w:val="15"/>
                <w:szCs w:val="15"/>
              </w:rPr>
              <w:t>≤12</w:t>
            </w:r>
            <w:r w:rsidRPr="00BB2224">
              <w:rPr>
                <w:rFonts w:ascii="宋体" w:eastAsia="宋体" w:hAnsi="Times New Roman" w:cs="Times New Roman"/>
                <w:kern w:val="0"/>
                <w:sz w:val="15"/>
                <w:szCs w:val="15"/>
              </w:rPr>
              <w:t>℃</w:t>
            </w:r>
            <w:r w:rsidRPr="00BB2224">
              <w:rPr>
                <w:rFonts w:ascii="Times New Roman" w:eastAsia="宋体" w:hAnsi="Times New Roman" w:cs="Times New Roman"/>
                <w:kern w:val="0"/>
                <w:sz w:val="15"/>
                <w:szCs w:val="15"/>
              </w:rPr>
              <w:t>）</w:t>
            </w:r>
          </w:p>
        </w:tc>
        <w:tc>
          <w:tcPr>
            <w:tcW w:w="6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27A2">
            <w:pPr>
              <w:widowControl/>
              <w:spacing w:beforeLines="10" w:afterLines="10" w:line="160" w:lineRule="exact"/>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石油类</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2020-10-23</w:t>
            </w:r>
          </w:p>
        </w:tc>
        <w:tc>
          <w:tcPr>
            <w:tcW w:w="35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&lt;0.06</w:t>
            </w:r>
          </w:p>
        </w:tc>
        <w:tc>
          <w:tcPr>
            <w:tcW w:w="400"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1-</w:t>
            </w:r>
          </w:p>
        </w:tc>
        <w:tc>
          <w:tcPr>
            <w:tcW w:w="299"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mg/L</w:t>
            </w:r>
          </w:p>
        </w:tc>
        <w:tc>
          <w:tcPr>
            <w:tcW w:w="362" w:type="pct"/>
            <w:tcBorders>
              <w:top w:val="nil"/>
              <w:left w:val="nil"/>
              <w:bottom w:val="single" w:sz="4" w:space="0" w:color="auto"/>
              <w:right w:val="single" w:sz="4" w:space="0" w:color="auto"/>
            </w:tcBorders>
            <w:shd w:val="clear" w:color="auto" w:fill="auto"/>
            <w:vAlign w:val="center"/>
            <w:hideMark/>
          </w:tcPr>
          <w:p w:rsidR="006E27A2" w:rsidRPr="00BB2224" w:rsidRDefault="006E27A2" w:rsidP="006E3F7F">
            <w:pPr>
              <w:widowControl/>
              <w:jc w:val="center"/>
              <w:rPr>
                <w:rFonts w:ascii="Times New Roman" w:eastAsia="宋体" w:hAnsi="Times New Roman" w:cs="Times New Roman"/>
                <w:kern w:val="0"/>
                <w:sz w:val="15"/>
                <w:szCs w:val="15"/>
              </w:rPr>
            </w:pPr>
            <w:r w:rsidRPr="00BB2224">
              <w:rPr>
                <w:rFonts w:ascii="Times New Roman" w:eastAsia="宋体" w:hAnsi="Times New Roman" w:cs="Times New Roman"/>
                <w:kern w:val="0"/>
                <w:sz w:val="15"/>
                <w:szCs w:val="15"/>
              </w:rPr>
              <w:t>否</w:t>
            </w:r>
          </w:p>
        </w:tc>
      </w:tr>
    </w:tbl>
    <w:p w:rsidR="004358AB" w:rsidRDefault="004358AB" w:rsidP="00323B43"/>
    <w:sectPr w:rsidR="004358AB" w:rsidSect="006E27A2">
      <w:pgSz w:w="16838" w:h="11906" w:orient="landscape"/>
      <w:pgMar w:top="1800" w:right="1440" w:bottom="1800" w:left="144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B2137"/>
    <w:multiLevelType w:val="hybridMultilevel"/>
    <w:tmpl w:val="CE368502"/>
    <w:lvl w:ilvl="0" w:tplc="DB4EBF26">
      <w:start w:val="1"/>
      <w:numFmt w:val="japaneseCounting"/>
      <w:lvlText w:val="%1、"/>
      <w:lvlJc w:val="left"/>
      <w:pPr>
        <w:tabs>
          <w:tab w:val="num" w:pos="1282"/>
        </w:tabs>
        <w:ind w:left="1282" w:hanging="720"/>
      </w:pPr>
      <w:rPr>
        <w:rFonts w:cs="Times New Roman" w:hint="default"/>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compat>
    <w:useFELayout/>
  </w:compat>
  <w:rsids>
    <w:rsidRoot w:val="006E27A2"/>
    <w:rsid w:val="00323B43"/>
    <w:rsid w:val="003D37D8"/>
    <w:rsid w:val="004358AB"/>
    <w:rsid w:val="006E27A2"/>
    <w:rsid w:val="00781D3C"/>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7A2"/>
    <w:pPr>
      <w:widowControl w:val="0"/>
      <w:spacing w:after="0" w:line="240" w:lineRule="auto"/>
      <w:jc w:val="both"/>
    </w:pPr>
    <w:rPr>
      <w:rFonts w:eastAsiaTheme="minorEastAsia"/>
      <w:kern w:val="2"/>
      <w:sz w:val="21"/>
    </w:rPr>
  </w:style>
  <w:style w:type="paragraph" w:styleId="2">
    <w:name w:val="heading 2"/>
    <w:basedOn w:val="a"/>
    <w:next w:val="a"/>
    <w:link w:val="2Char"/>
    <w:qFormat/>
    <w:rsid w:val="006E27A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E27A2"/>
    <w:rPr>
      <w:rFonts w:ascii="Arial" w:eastAsia="黑体" w:hAnsi="Arial" w:cs="Times New Roman"/>
      <w:b/>
      <w:bCs/>
      <w:kern w:val="2"/>
      <w:sz w:val="32"/>
      <w:szCs w:val="32"/>
    </w:rPr>
  </w:style>
  <w:style w:type="paragraph" w:styleId="a3">
    <w:name w:val="header"/>
    <w:basedOn w:val="a"/>
    <w:link w:val="Char"/>
    <w:uiPriority w:val="99"/>
    <w:unhideWhenUsed/>
    <w:rsid w:val="006E2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27A2"/>
    <w:rPr>
      <w:rFonts w:eastAsiaTheme="minorEastAsia"/>
      <w:kern w:val="2"/>
      <w:sz w:val="18"/>
      <w:szCs w:val="18"/>
    </w:rPr>
  </w:style>
  <w:style w:type="paragraph" w:styleId="a4">
    <w:name w:val="footer"/>
    <w:basedOn w:val="a"/>
    <w:link w:val="Char0"/>
    <w:uiPriority w:val="99"/>
    <w:unhideWhenUsed/>
    <w:rsid w:val="006E27A2"/>
    <w:pPr>
      <w:tabs>
        <w:tab w:val="center" w:pos="4153"/>
        <w:tab w:val="right" w:pos="8306"/>
      </w:tabs>
      <w:snapToGrid w:val="0"/>
      <w:jc w:val="left"/>
    </w:pPr>
    <w:rPr>
      <w:sz w:val="18"/>
      <w:szCs w:val="18"/>
    </w:rPr>
  </w:style>
  <w:style w:type="character" w:customStyle="1" w:styleId="Char0">
    <w:name w:val="页脚 Char"/>
    <w:basedOn w:val="a0"/>
    <w:link w:val="a4"/>
    <w:uiPriority w:val="99"/>
    <w:rsid w:val="006E27A2"/>
    <w:rPr>
      <w:rFonts w:eastAsiaTheme="minorEastAsia"/>
      <w:kern w:val="2"/>
      <w:sz w:val="18"/>
      <w:szCs w:val="18"/>
    </w:rPr>
  </w:style>
  <w:style w:type="paragraph" w:styleId="a5">
    <w:name w:val="Balloon Text"/>
    <w:basedOn w:val="a"/>
    <w:link w:val="Char1"/>
    <w:uiPriority w:val="99"/>
    <w:semiHidden/>
    <w:unhideWhenUsed/>
    <w:rsid w:val="006E27A2"/>
    <w:rPr>
      <w:sz w:val="18"/>
      <w:szCs w:val="18"/>
    </w:rPr>
  </w:style>
  <w:style w:type="character" w:customStyle="1" w:styleId="Char1">
    <w:name w:val="批注框文本 Char"/>
    <w:basedOn w:val="a0"/>
    <w:link w:val="a5"/>
    <w:uiPriority w:val="99"/>
    <w:semiHidden/>
    <w:rsid w:val="006E27A2"/>
    <w:rPr>
      <w:rFonts w:eastAsiaTheme="minorEastAsia"/>
      <w:kern w:val="2"/>
      <w:sz w:val="18"/>
      <w:szCs w:val="18"/>
    </w:rPr>
  </w:style>
  <w:style w:type="table" w:styleId="a6">
    <w:name w:val="Table Grid"/>
    <w:basedOn w:val="a1"/>
    <w:uiPriority w:val="59"/>
    <w:rsid w:val="006E27A2"/>
    <w:pPr>
      <w:spacing w:after="0" w:line="240" w:lineRule="auto"/>
    </w:pPr>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6E27A2"/>
    <w:pPr>
      <w:ind w:firstLineChars="200" w:firstLine="420"/>
    </w:pPr>
  </w:style>
  <w:style w:type="character" w:styleId="a8">
    <w:name w:val="Hyperlink"/>
    <w:basedOn w:val="a0"/>
    <w:uiPriority w:val="99"/>
    <w:semiHidden/>
    <w:unhideWhenUsed/>
    <w:rsid w:val="006E27A2"/>
    <w:rPr>
      <w:color w:val="0000FF"/>
      <w:u w:val="single"/>
    </w:rPr>
  </w:style>
  <w:style w:type="character" w:styleId="a9">
    <w:name w:val="FollowedHyperlink"/>
    <w:basedOn w:val="a0"/>
    <w:uiPriority w:val="99"/>
    <w:semiHidden/>
    <w:unhideWhenUsed/>
    <w:rsid w:val="006E27A2"/>
    <w:rPr>
      <w:color w:val="800080"/>
      <w:u w:val="single"/>
    </w:rPr>
  </w:style>
  <w:style w:type="paragraph" w:customStyle="1" w:styleId="font5">
    <w:name w:val="font5"/>
    <w:basedOn w:val="a"/>
    <w:rsid w:val="006E27A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6E27A2"/>
    <w:pPr>
      <w:widowControl/>
      <w:spacing w:before="100" w:beforeAutospacing="1" w:after="100" w:afterAutospacing="1"/>
      <w:jc w:val="left"/>
    </w:pPr>
    <w:rPr>
      <w:rFonts w:ascii="仿宋_GB2312" w:eastAsia="仿宋_GB2312" w:hAnsi="宋体" w:cs="宋体"/>
      <w:kern w:val="0"/>
      <w:sz w:val="22"/>
    </w:rPr>
  </w:style>
  <w:style w:type="paragraph" w:customStyle="1" w:styleId="font7">
    <w:name w:val="font7"/>
    <w:basedOn w:val="a"/>
    <w:rsid w:val="006E27A2"/>
    <w:pPr>
      <w:widowControl/>
      <w:spacing w:before="100" w:beforeAutospacing="1" w:after="100" w:afterAutospacing="1"/>
      <w:jc w:val="left"/>
    </w:pPr>
    <w:rPr>
      <w:rFonts w:ascii="仿宋_GB2312" w:eastAsia="仿宋_GB2312" w:hAnsi="宋体" w:cs="宋体"/>
      <w:b/>
      <w:bCs/>
      <w:kern w:val="0"/>
      <w:sz w:val="22"/>
    </w:rPr>
  </w:style>
  <w:style w:type="paragraph" w:customStyle="1" w:styleId="font8">
    <w:name w:val="font8"/>
    <w:basedOn w:val="a"/>
    <w:rsid w:val="006E27A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63">
    <w:name w:val="xl63"/>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szCs w:val="24"/>
    </w:rPr>
  </w:style>
  <w:style w:type="paragraph" w:customStyle="1" w:styleId="xl64">
    <w:name w:val="xl64"/>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szCs w:val="24"/>
    </w:rPr>
  </w:style>
  <w:style w:type="paragraph" w:customStyle="1" w:styleId="xl65">
    <w:name w:val="xl65"/>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66">
    <w:name w:val="xl66"/>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67">
    <w:name w:val="xl67"/>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68">
    <w:name w:val="xl68"/>
    <w:basedOn w:val="a"/>
    <w:rsid w:val="006E27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69">
    <w:name w:val="xl69"/>
    <w:basedOn w:val="a"/>
    <w:rsid w:val="006E27A2"/>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9">
    <w:name w:val="font9"/>
    <w:basedOn w:val="a"/>
    <w:rsid w:val="006E27A2"/>
    <w:pPr>
      <w:widowControl/>
      <w:spacing w:before="100" w:beforeAutospacing="1" w:after="100" w:afterAutospacing="1"/>
      <w:jc w:val="left"/>
    </w:pPr>
    <w:rPr>
      <w:rFonts w:ascii="仿宋_GB2312" w:eastAsia="仿宋_GB2312" w:hAnsi="宋体" w:cs="宋体"/>
      <w:kern w:val="0"/>
      <w:sz w:val="22"/>
    </w:rPr>
  </w:style>
  <w:style w:type="paragraph" w:customStyle="1" w:styleId="font10">
    <w:name w:val="font10"/>
    <w:basedOn w:val="a"/>
    <w:rsid w:val="006E27A2"/>
    <w:pPr>
      <w:widowControl/>
      <w:spacing w:before="100" w:beforeAutospacing="1" w:after="100" w:afterAutospacing="1"/>
      <w:jc w:val="left"/>
    </w:pPr>
    <w:rPr>
      <w:rFonts w:ascii="仿宋_GB2312" w:eastAsia="仿宋_GB2312" w:hAnsi="宋体" w:cs="宋体"/>
      <w:b/>
      <w:bCs/>
      <w:kern w:val="0"/>
      <w:sz w:val="22"/>
    </w:rPr>
  </w:style>
  <w:style w:type="paragraph" w:customStyle="1" w:styleId="xl70">
    <w:name w:val="xl70"/>
    <w:basedOn w:val="a"/>
    <w:rsid w:val="006E27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71">
    <w:name w:val="xl71"/>
    <w:basedOn w:val="a"/>
    <w:rsid w:val="006E27A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5212</Words>
  <Characters>29710</Characters>
  <Application>Microsoft Office Word</Application>
  <DocSecurity>0</DocSecurity>
  <Lines>247</Lines>
  <Paragraphs>69</Paragraphs>
  <ScaleCrop>false</ScaleCrop>
  <Company/>
  <LinksUpToDate>false</LinksUpToDate>
  <CharactersWithSpaces>34853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2021-01-21T00:50:00Z</dcterms:created>
  <dcterms:modified xsi:type="dcterms:W3CDTF">2021-01-21T00:51:00Z</dcterms:modified>
</cp:coreProperties>
</file>