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2020年1—</w:t>
      </w:r>
      <w:r>
        <w:rPr>
          <w:rFonts w:hint="eastAsia" w:eastAsia="方正小标宋_GBK"/>
          <w:kern w:val="0"/>
          <w:sz w:val="44"/>
          <w:szCs w:val="44"/>
        </w:rPr>
        <w:t>9</w:t>
      </w:r>
      <w:r>
        <w:rPr>
          <w:rFonts w:eastAsia="方正小标宋_GBK"/>
          <w:kern w:val="0"/>
          <w:sz w:val="44"/>
          <w:szCs w:val="44"/>
        </w:rPr>
        <w:t>月全</w:t>
      </w:r>
      <w:r>
        <w:rPr>
          <w:rFonts w:eastAsia="方正小标宋简体"/>
          <w:kern w:val="0"/>
          <w:sz w:val="44"/>
          <w:szCs w:val="44"/>
        </w:rPr>
        <w:t>市环境空气污染物浓度统计表</w:t>
      </w:r>
    </w:p>
    <w:tbl>
      <w:tblPr>
        <w:tblStyle w:val="4"/>
        <w:tblW w:w="137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349"/>
        <w:gridCol w:w="1249"/>
        <w:gridCol w:w="1271"/>
        <w:gridCol w:w="1249"/>
        <w:gridCol w:w="1540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-8h90百分位（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CO95百分位（</w:t>
            </w:r>
            <w:r>
              <w:rPr>
                <w:szCs w:val="21"/>
              </w:rPr>
              <w:t>mg/m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是否达标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90.9%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26.1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49.0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8.0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20.1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148.6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3.24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94.7%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27.4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43.9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15.2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140.0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3.05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28.4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51.1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9.6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19.1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137.0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3.29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92.0%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27.2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44.6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15.8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146.0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3.13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90.9%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28.1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44.4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5.5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16.5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143.7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3.06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23.9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39.4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5.4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142.7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95.6%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19.8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50.7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3.7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12.7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130.0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27.6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41.6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6.8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16.3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133.0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2.98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95.2%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24.9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38.8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4.1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9.9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133.4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2.77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</w:tbl>
    <w:p>
      <w:pPr>
        <w:pStyle w:val="2"/>
        <w:spacing w:line="600" w:lineRule="exact"/>
        <w:rPr>
          <w:rFonts w:hint="eastAsia" w:ascii="Times New Roman" w:hAnsi="Times New Roman" w:cs="Times New Roman"/>
        </w:rPr>
        <w:sectPr>
          <w:pgSz w:w="16781" w:h="11849" w:orient="landscape"/>
          <w:pgMar w:top="1701" w:right="1474" w:bottom="1701" w:left="1587" w:header="720" w:footer="1304" w:gutter="0"/>
          <w:pgNumType w:fmt="decimal"/>
          <w:cols w:space="720" w:num="1"/>
          <w:docGrid w:linePitch="286" w:charSpace="0"/>
        </w:sectPr>
      </w:pPr>
    </w:p>
    <w:p>
      <w:pPr>
        <w:widowControl/>
        <w:spacing w:line="52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2020年1—</w:t>
      </w:r>
      <w:r>
        <w:rPr>
          <w:rFonts w:hint="eastAsia" w:eastAsia="方正小标宋简体"/>
          <w:kern w:val="0"/>
          <w:sz w:val="44"/>
          <w:szCs w:val="44"/>
        </w:rPr>
        <w:t>9</w:t>
      </w:r>
      <w:r>
        <w:rPr>
          <w:rFonts w:eastAsia="方正小标宋简体"/>
          <w:kern w:val="0"/>
          <w:sz w:val="44"/>
          <w:szCs w:val="44"/>
        </w:rPr>
        <w:t>月全市环境空气质量变化情况统计表</w:t>
      </w:r>
    </w:p>
    <w:tbl>
      <w:tblPr>
        <w:tblStyle w:val="4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-15.0%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-4.1%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-19.2%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-9.5%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12.5%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-5.5%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-5.0%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-27.6%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-0.4%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-14.2%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-8.6%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-24.5%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-8.1%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-8.4%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-23.3%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3.5%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-12.9%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-19.1%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-23.6%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-9.6%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/>
                <w:bCs/>
                <w:kern w:val="0"/>
                <w:szCs w:val="21"/>
                <w:lang w:bidi="ar"/>
              </w:rPr>
              <w:t>-8.5%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-28.5%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-17.4%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-11.9%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-3.9%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13.3%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-12.0%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-13.2%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27.3%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</w:tbl>
    <w:p>
      <w:pPr>
        <w:pStyle w:val="2"/>
        <w:spacing w:line="520" w:lineRule="exact"/>
        <w:ind w:firstLine="320" w:firstLineChars="100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备注：“-”表示下降。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杨春燕</cp:lastModifiedBy>
  <dcterms:modified xsi:type="dcterms:W3CDTF">2020-10-19T08:00:06Z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