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4498" w14:textId="77777777" w:rsidR="00623F5A" w:rsidRPr="004C2FDB" w:rsidRDefault="00623F5A" w:rsidP="00623F5A">
      <w:pPr>
        <w:widowControl/>
        <w:overflowPunct w:val="0"/>
        <w:topLinePunct/>
        <w:spacing w:line="620" w:lineRule="exact"/>
        <w:jc w:val="left"/>
        <w:rPr>
          <w:rFonts w:ascii="Times New Roman" w:eastAsia="黑体" w:hAnsi="Times New Roman"/>
          <w:bCs/>
          <w:sz w:val="32"/>
        </w:rPr>
      </w:pPr>
      <w:r w:rsidRPr="004C2FDB">
        <w:rPr>
          <w:rFonts w:ascii="Times New Roman" w:eastAsia="黑体" w:hAnsi="Times New Roman"/>
          <w:bCs/>
          <w:sz w:val="32"/>
        </w:rPr>
        <w:t>附</w:t>
      </w:r>
      <w:r w:rsidRPr="004C2FDB">
        <w:rPr>
          <w:rFonts w:ascii="Times New Roman" w:eastAsia="黑体" w:hAnsi="Times New Roman" w:hint="eastAsia"/>
          <w:bCs/>
          <w:sz w:val="32"/>
        </w:rPr>
        <w:t>件</w:t>
      </w:r>
      <w:r w:rsidRPr="004C2FDB">
        <w:rPr>
          <w:rFonts w:ascii="Times New Roman" w:eastAsia="黑体" w:hAnsi="Times New Roman" w:hint="eastAsia"/>
          <w:bCs/>
          <w:sz w:val="32"/>
        </w:rPr>
        <w:t>2</w:t>
      </w:r>
    </w:p>
    <w:p w14:paraId="29CB3836" w14:textId="77777777" w:rsidR="00623F5A" w:rsidRPr="004C2FDB" w:rsidRDefault="00623F5A" w:rsidP="00623F5A">
      <w:pPr>
        <w:widowControl/>
        <w:overflowPunct w:val="0"/>
        <w:topLinePunct/>
        <w:spacing w:line="620" w:lineRule="exact"/>
        <w:jc w:val="center"/>
        <w:rPr>
          <w:rFonts w:ascii="Times New Roman" w:eastAsia="方正小标宋简体" w:hAnsi="Times New Roman" w:cs="宋体"/>
          <w:bCs/>
          <w:kern w:val="36"/>
          <w:sz w:val="40"/>
          <w:szCs w:val="36"/>
        </w:rPr>
      </w:pPr>
      <w:bookmarkStart w:id="0" w:name="_GoBack"/>
      <w:bookmarkEnd w:id="0"/>
    </w:p>
    <w:p w14:paraId="743843E9" w14:textId="77777777" w:rsidR="00623F5A" w:rsidRPr="004C2FDB" w:rsidRDefault="00623F5A" w:rsidP="00623F5A">
      <w:pPr>
        <w:widowControl/>
        <w:overflowPunct w:val="0"/>
        <w:topLinePunct/>
        <w:spacing w:line="620" w:lineRule="exact"/>
        <w:jc w:val="center"/>
        <w:rPr>
          <w:rFonts w:ascii="Times New Roman" w:eastAsia="方正小标宋简体" w:hAnsi="Times New Roman" w:cs="宋体"/>
          <w:bCs/>
          <w:kern w:val="36"/>
          <w:sz w:val="44"/>
          <w:szCs w:val="36"/>
        </w:rPr>
      </w:pPr>
      <w:r w:rsidRPr="004C2FDB">
        <w:rPr>
          <w:rFonts w:ascii="Times New Roman" w:eastAsia="方正小标宋简体" w:hAnsi="Times New Roman" w:cs="宋体" w:hint="eastAsia"/>
          <w:bCs/>
          <w:kern w:val="36"/>
          <w:sz w:val="44"/>
          <w:szCs w:val="36"/>
        </w:rPr>
        <w:t>危险废物“点对点”定向利用</w:t>
      </w:r>
    </w:p>
    <w:p w14:paraId="2D923440" w14:textId="77777777" w:rsidR="00623F5A" w:rsidRPr="004C2FDB" w:rsidRDefault="00623F5A" w:rsidP="00623F5A">
      <w:pPr>
        <w:widowControl/>
        <w:overflowPunct w:val="0"/>
        <w:topLinePunct/>
        <w:spacing w:line="620" w:lineRule="exact"/>
        <w:jc w:val="center"/>
        <w:rPr>
          <w:rFonts w:ascii="Times New Roman" w:eastAsia="方正小标宋简体" w:hAnsi="Times New Roman" w:cs="宋体"/>
          <w:bCs/>
          <w:kern w:val="36"/>
          <w:sz w:val="44"/>
          <w:szCs w:val="36"/>
        </w:rPr>
      </w:pPr>
      <w:r w:rsidRPr="004C2FDB">
        <w:rPr>
          <w:rFonts w:ascii="Times New Roman" w:eastAsia="方正小标宋简体" w:hAnsi="Times New Roman" w:cs="宋体" w:hint="eastAsia"/>
          <w:bCs/>
          <w:kern w:val="36"/>
          <w:sz w:val="44"/>
          <w:szCs w:val="36"/>
        </w:rPr>
        <w:t>环境风险评估报告大纲</w:t>
      </w:r>
    </w:p>
    <w:p w14:paraId="5CEB3B03" w14:textId="77777777" w:rsidR="00623F5A" w:rsidRPr="004C2FDB" w:rsidRDefault="00623F5A" w:rsidP="00623F5A">
      <w:pPr>
        <w:pStyle w:val="1"/>
        <w:keepNext w:val="0"/>
        <w:keepLines w:val="0"/>
        <w:overflowPunct w:val="0"/>
        <w:topLinePunct/>
        <w:spacing w:before="0" w:after="0" w:line="620" w:lineRule="exact"/>
        <w:ind w:firstLineChars="200" w:firstLine="720"/>
        <w:rPr>
          <w:rFonts w:ascii="Times New Roman" w:eastAsia="仿宋_GB2312" w:hAnsi="Times New Roman"/>
          <w:b w:val="0"/>
          <w:kern w:val="2"/>
          <w:sz w:val="36"/>
          <w:szCs w:val="32"/>
        </w:rPr>
      </w:pPr>
    </w:p>
    <w:p w14:paraId="4743D208" w14:textId="77777777" w:rsidR="00623F5A" w:rsidRPr="004C2FDB" w:rsidRDefault="00623F5A" w:rsidP="00623F5A">
      <w:pPr>
        <w:pStyle w:val="1"/>
        <w:keepNext w:val="0"/>
        <w:keepLines w:val="0"/>
        <w:overflowPunct w:val="0"/>
        <w:topLinePunct/>
        <w:spacing w:before="0" w:after="0" w:line="620" w:lineRule="exact"/>
        <w:ind w:firstLineChars="200" w:firstLine="640"/>
        <w:rPr>
          <w:rFonts w:ascii="Times New Roman" w:eastAsia="仿宋_GB2312" w:hAnsi="Times New Roman"/>
          <w:b w:val="0"/>
          <w:bCs/>
          <w:kern w:val="2"/>
          <w:sz w:val="32"/>
          <w:szCs w:val="32"/>
        </w:rPr>
      </w:pPr>
      <w:r w:rsidRPr="004C2FDB">
        <w:rPr>
          <w:rFonts w:ascii="Times New Roman" w:eastAsia="仿宋_GB2312" w:hAnsi="Times New Roman" w:hint="eastAsia"/>
          <w:b w:val="0"/>
          <w:bCs/>
          <w:kern w:val="2"/>
          <w:sz w:val="32"/>
          <w:szCs w:val="32"/>
        </w:rPr>
        <w:t>根据《中华人民共和国固体废物污染环境防治法》《国务院办公厅关于印发强化危险废物监管和利用处置能力改革实施方案的通知》和《国家危险废物名录（</w:t>
      </w:r>
      <w:r w:rsidRPr="004C2FDB">
        <w:rPr>
          <w:rFonts w:ascii="Times New Roman" w:eastAsia="仿宋_GB2312" w:hAnsi="Times New Roman" w:hint="eastAsia"/>
          <w:b w:val="0"/>
          <w:bCs/>
          <w:kern w:val="2"/>
          <w:sz w:val="32"/>
          <w:szCs w:val="32"/>
        </w:rPr>
        <w:t>2021</w:t>
      </w:r>
      <w:r w:rsidRPr="004C2FDB">
        <w:rPr>
          <w:rFonts w:ascii="Times New Roman" w:eastAsia="仿宋_GB2312" w:hAnsi="Times New Roman" w:hint="eastAsia"/>
          <w:b w:val="0"/>
          <w:bCs/>
          <w:kern w:val="2"/>
          <w:sz w:val="32"/>
          <w:szCs w:val="32"/>
        </w:rPr>
        <w:t>年版）》等有关规定，结合《四川省危险废物“点对点”定向利用豁免管理试点实施方案》相关要求，特编制（某公司</w:t>
      </w:r>
      <w:r w:rsidRPr="004C2FDB">
        <w:rPr>
          <w:rFonts w:ascii="Times New Roman" w:eastAsia="仿宋_GB2312" w:hAnsi="Times New Roman" w:hint="eastAsia"/>
          <w:b w:val="0"/>
          <w:bCs/>
          <w:kern w:val="2"/>
          <w:sz w:val="32"/>
          <w:szCs w:val="32"/>
        </w:rPr>
        <w:t>***</w:t>
      </w:r>
      <w:r w:rsidRPr="004C2FDB">
        <w:rPr>
          <w:rFonts w:ascii="Times New Roman" w:eastAsia="仿宋_GB2312" w:hAnsi="Times New Roman" w:hint="eastAsia"/>
          <w:b w:val="0"/>
          <w:bCs/>
          <w:kern w:val="2"/>
          <w:sz w:val="32"/>
          <w:szCs w:val="32"/>
        </w:rPr>
        <w:t>危险废物名称）“点对点”定向利用于（</w:t>
      </w:r>
      <w:r w:rsidRPr="004C2FDB">
        <w:rPr>
          <w:rFonts w:ascii="Times New Roman" w:eastAsia="仿宋_GB2312" w:hAnsi="Times New Roman" w:hint="eastAsia"/>
          <w:b w:val="0"/>
          <w:bCs/>
          <w:kern w:val="2"/>
          <w:sz w:val="32"/>
          <w:szCs w:val="32"/>
        </w:rPr>
        <w:t>***</w:t>
      </w:r>
      <w:r w:rsidRPr="004C2FDB">
        <w:rPr>
          <w:rFonts w:ascii="Times New Roman" w:eastAsia="仿宋_GB2312" w:hAnsi="Times New Roman" w:hint="eastAsia"/>
          <w:b w:val="0"/>
          <w:bCs/>
          <w:kern w:val="2"/>
          <w:sz w:val="32"/>
          <w:szCs w:val="32"/>
        </w:rPr>
        <w:t>公司）环境风险评估报告。</w:t>
      </w:r>
    </w:p>
    <w:p w14:paraId="0FDD64FC" w14:textId="77777777" w:rsidR="00623F5A" w:rsidRPr="004C2FDB" w:rsidRDefault="00623F5A" w:rsidP="00623F5A">
      <w:pPr>
        <w:overflowPunct w:val="0"/>
        <w:topLinePunct/>
        <w:spacing w:line="620" w:lineRule="exact"/>
        <w:ind w:firstLineChars="200" w:firstLine="640"/>
        <w:rPr>
          <w:rFonts w:ascii="Times New Roman" w:eastAsia="黑体" w:hAnsi="Times New Roman" w:cs="黑体"/>
          <w:bCs/>
          <w:sz w:val="32"/>
          <w:szCs w:val="32"/>
        </w:rPr>
      </w:pPr>
      <w:r w:rsidRPr="004C2FDB">
        <w:rPr>
          <w:rFonts w:ascii="Times New Roman" w:eastAsia="黑体" w:hAnsi="Times New Roman" w:cs="黑体" w:hint="eastAsia"/>
          <w:bCs/>
          <w:sz w:val="32"/>
          <w:szCs w:val="32"/>
        </w:rPr>
        <w:t xml:space="preserve">1 </w:t>
      </w:r>
      <w:r w:rsidRPr="004C2FDB">
        <w:rPr>
          <w:rFonts w:ascii="Times New Roman" w:eastAsia="黑体" w:hAnsi="Times New Roman" w:cs="黑体" w:hint="eastAsia"/>
          <w:bCs/>
          <w:sz w:val="32"/>
          <w:szCs w:val="32"/>
        </w:rPr>
        <w:t>危险废物产生及利用情况</w:t>
      </w:r>
    </w:p>
    <w:p w14:paraId="3B77D67D"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 xml:space="preserve">1.1 </w:t>
      </w:r>
      <w:proofErr w:type="gramStart"/>
      <w:r w:rsidRPr="004C2FDB">
        <w:rPr>
          <w:rFonts w:ascii="Times New Roman" w:eastAsia="仿宋_GB2312" w:hAnsi="Times New Roman" w:hint="eastAsia"/>
          <w:bCs/>
          <w:sz w:val="32"/>
          <w:szCs w:val="32"/>
        </w:rPr>
        <w:t>产废单位</w:t>
      </w:r>
      <w:proofErr w:type="gramEnd"/>
      <w:r w:rsidRPr="004C2FDB">
        <w:rPr>
          <w:rFonts w:ascii="Times New Roman" w:eastAsia="仿宋_GB2312" w:hAnsi="Times New Roman" w:hint="eastAsia"/>
          <w:bCs/>
          <w:sz w:val="32"/>
          <w:szCs w:val="32"/>
        </w:rPr>
        <w:t>基本情况</w:t>
      </w:r>
    </w:p>
    <w:p w14:paraId="7F6C4310"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地理位置、生产原辅料、生产工艺、</w:t>
      </w:r>
      <w:proofErr w:type="gramStart"/>
      <w:r w:rsidRPr="004C2FDB">
        <w:rPr>
          <w:rFonts w:ascii="Times New Roman" w:eastAsia="仿宋_GB2312" w:hAnsi="Times New Roman" w:hint="eastAsia"/>
          <w:bCs/>
          <w:sz w:val="32"/>
          <w:szCs w:val="32"/>
        </w:rPr>
        <w:t>产废环节</w:t>
      </w:r>
      <w:proofErr w:type="gramEnd"/>
      <w:r w:rsidRPr="004C2FDB">
        <w:rPr>
          <w:rFonts w:ascii="Times New Roman" w:eastAsia="仿宋_GB2312" w:hAnsi="Times New Roman" w:hint="eastAsia"/>
          <w:bCs/>
          <w:sz w:val="32"/>
          <w:szCs w:val="32"/>
        </w:rPr>
        <w:t>、危险废物贮存与处理现状、</w:t>
      </w:r>
      <w:r w:rsidRPr="004C2FDB">
        <w:rPr>
          <w:rFonts w:ascii="Times New Roman" w:eastAsia="仿宋_GB2312" w:hAnsi="Times New Roman"/>
          <w:bCs/>
          <w:sz w:val="32"/>
          <w:szCs w:val="32"/>
        </w:rPr>
        <w:t>包装</w:t>
      </w:r>
      <w:r w:rsidRPr="004C2FDB">
        <w:rPr>
          <w:rFonts w:ascii="Times New Roman" w:eastAsia="仿宋_GB2312" w:hAnsi="Times New Roman" w:hint="eastAsia"/>
          <w:bCs/>
          <w:sz w:val="32"/>
          <w:szCs w:val="32"/>
        </w:rPr>
        <w:t>方</w:t>
      </w:r>
      <w:r w:rsidRPr="004C2FDB">
        <w:rPr>
          <w:rFonts w:ascii="Times New Roman" w:eastAsia="仿宋_GB2312" w:hAnsi="Times New Roman"/>
          <w:bCs/>
          <w:sz w:val="32"/>
          <w:szCs w:val="32"/>
        </w:rPr>
        <w:t>式</w:t>
      </w:r>
      <w:r w:rsidRPr="004C2FDB">
        <w:rPr>
          <w:rFonts w:ascii="Times New Roman" w:eastAsia="仿宋_GB2312" w:hAnsi="Times New Roman" w:hint="eastAsia"/>
          <w:bCs/>
          <w:sz w:val="32"/>
          <w:szCs w:val="32"/>
        </w:rPr>
        <w:t>，环评批复及验收、突发环境事件应急预案备案、近</w:t>
      </w:r>
      <w:r w:rsidRPr="004C2FDB">
        <w:rPr>
          <w:rFonts w:ascii="Times New Roman" w:eastAsia="仿宋_GB2312" w:hAnsi="Times New Roman"/>
          <w:bCs/>
          <w:sz w:val="32"/>
          <w:szCs w:val="32"/>
        </w:rPr>
        <w:t>一年</w:t>
      </w:r>
      <w:r w:rsidRPr="004C2FDB">
        <w:rPr>
          <w:rFonts w:ascii="Times New Roman" w:eastAsia="仿宋_GB2312" w:hAnsi="Times New Roman" w:hint="eastAsia"/>
          <w:bCs/>
          <w:sz w:val="32"/>
          <w:szCs w:val="32"/>
        </w:rPr>
        <w:t>污染物排放</w:t>
      </w:r>
      <w:r w:rsidRPr="004C2FDB">
        <w:rPr>
          <w:rFonts w:ascii="Times New Roman" w:eastAsia="仿宋_GB2312" w:hAnsi="Times New Roman"/>
          <w:bCs/>
          <w:sz w:val="32"/>
          <w:szCs w:val="32"/>
        </w:rPr>
        <w:t>达标</w:t>
      </w:r>
      <w:r w:rsidRPr="004C2FDB">
        <w:rPr>
          <w:rFonts w:ascii="Times New Roman" w:eastAsia="仿宋_GB2312" w:hAnsi="Times New Roman" w:hint="eastAsia"/>
          <w:bCs/>
          <w:sz w:val="32"/>
          <w:szCs w:val="32"/>
        </w:rPr>
        <w:t>情</w:t>
      </w:r>
      <w:r w:rsidRPr="004C2FDB">
        <w:rPr>
          <w:rFonts w:ascii="Times New Roman" w:eastAsia="仿宋_GB2312" w:hAnsi="Times New Roman"/>
          <w:bCs/>
          <w:sz w:val="32"/>
          <w:szCs w:val="32"/>
        </w:rPr>
        <w:t>况</w:t>
      </w:r>
      <w:r w:rsidRPr="004C2FDB">
        <w:rPr>
          <w:rFonts w:ascii="Times New Roman" w:eastAsia="仿宋_GB2312" w:hAnsi="Times New Roman" w:hint="eastAsia"/>
          <w:bCs/>
          <w:sz w:val="32"/>
          <w:szCs w:val="32"/>
        </w:rPr>
        <w:t>，其他环保管理情况如环保部门设置、制度设置（包括针对拟定向利用的危险废物的相关管理制度）、近三年环保处罚与投诉等。</w:t>
      </w:r>
    </w:p>
    <w:p w14:paraId="7755ABDA"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 xml:space="preserve">1.2 </w:t>
      </w:r>
      <w:r w:rsidRPr="004C2FDB">
        <w:rPr>
          <w:rFonts w:ascii="Times New Roman" w:eastAsia="仿宋_GB2312" w:hAnsi="Times New Roman" w:hint="eastAsia"/>
          <w:bCs/>
          <w:sz w:val="32"/>
          <w:szCs w:val="32"/>
        </w:rPr>
        <w:t>利用单位基本情况</w:t>
      </w:r>
      <w:r w:rsidRPr="004C2FDB">
        <w:rPr>
          <w:rFonts w:ascii="Times New Roman" w:eastAsia="仿宋_GB2312" w:hAnsi="Times New Roman" w:hint="eastAsia"/>
          <w:bCs/>
          <w:sz w:val="32"/>
          <w:szCs w:val="32"/>
        </w:rPr>
        <w:t xml:space="preserve"> </w:t>
      </w:r>
    </w:p>
    <w:p w14:paraId="2CAED1E4"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地理位置（是否在园区及与</w:t>
      </w:r>
      <w:proofErr w:type="gramStart"/>
      <w:r w:rsidRPr="004C2FDB">
        <w:rPr>
          <w:rFonts w:ascii="Times New Roman" w:eastAsia="仿宋_GB2312" w:hAnsi="Times New Roman" w:hint="eastAsia"/>
          <w:bCs/>
          <w:sz w:val="32"/>
          <w:szCs w:val="32"/>
        </w:rPr>
        <w:t>产废单位</w:t>
      </w:r>
      <w:proofErr w:type="gramEnd"/>
      <w:r w:rsidRPr="004C2FDB">
        <w:rPr>
          <w:rFonts w:ascii="Times New Roman" w:eastAsia="仿宋_GB2312" w:hAnsi="Times New Roman" w:hint="eastAsia"/>
          <w:bCs/>
          <w:sz w:val="32"/>
          <w:szCs w:val="32"/>
        </w:rPr>
        <w:t>的距离）、拟</w:t>
      </w:r>
      <w:r w:rsidRPr="004C2FDB">
        <w:rPr>
          <w:rFonts w:ascii="Times New Roman" w:eastAsia="仿宋_GB2312" w:hAnsi="Times New Roman"/>
          <w:bCs/>
          <w:sz w:val="32"/>
          <w:szCs w:val="32"/>
        </w:rPr>
        <w:t>定向利用</w:t>
      </w:r>
      <w:r w:rsidRPr="004C2FDB">
        <w:rPr>
          <w:rFonts w:ascii="Times New Roman" w:eastAsia="仿宋_GB2312" w:hAnsi="Times New Roman" w:hint="eastAsia"/>
          <w:bCs/>
          <w:sz w:val="32"/>
          <w:szCs w:val="32"/>
        </w:rPr>
        <w:t>危险废物</w:t>
      </w:r>
      <w:r w:rsidRPr="004C2FDB">
        <w:rPr>
          <w:rFonts w:ascii="Times New Roman" w:eastAsia="仿宋_GB2312" w:hAnsi="Times New Roman"/>
          <w:bCs/>
          <w:sz w:val="32"/>
          <w:szCs w:val="32"/>
        </w:rPr>
        <w:t>包装</w:t>
      </w:r>
      <w:r w:rsidRPr="004C2FDB">
        <w:rPr>
          <w:rFonts w:ascii="Times New Roman" w:eastAsia="仿宋_GB2312" w:hAnsi="Times New Roman" w:hint="eastAsia"/>
          <w:bCs/>
          <w:sz w:val="32"/>
          <w:szCs w:val="32"/>
        </w:rPr>
        <w:t>工</w:t>
      </w:r>
      <w:r w:rsidRPr="004C2FDB">
        <w:rPr>
          <w:rFonts w:ascii="Times New Roman" w:eastAsia="仿宋_GB2312" w:hAnsi="Times New Roman"/>
          <w:bCs/>
          <w:sz w:val="32"/>
          <w:szCs w:val="32"/>
        </w:rPr>
        <w:t>具</w:t>
      </w:r>
      <w:r w:rsidRPr="004C2FDB">
        <w:rPr>
          <w:rFonts w:ascii="Times New Roman" w:eastAsia="仿宋_GB2312" w:hAnsi="Times New Roman" w:hint="eastAsia"/>
          <w:bCs/>
          <w:sz w:val="32"/>
          <w:szCs w:val="32"/>
        </w:rPr>
        <w:t>、厂</w:t>
      </w:r>
      <w:r w:rsidRPr="004C2FDB">
        <w:rPr>
          <w:rFonts w:ascii="Times New Roman" w:eastAsia="仿宋_GB2312" w:hAnsi="Times New Roman"/>
          <w:bCs/>
          <w:sz w:val="32"/>
          <w:szCs w:val="32"/>
        </w:rPr>
        <w:t>内</w:t>
      </w:r>
      <w:r w:rsidRPr="004C2FDB">
        <w:rPr>
          <w:rFonts w:ascii="Times New Roman" w:eastAsia="仿宋_GB2312" w:hAnsi="Times New Roman" w:hint="eastAsia"/>
          <w:bCs/>
          <w:sz w:val="32"/>
          <w:szCs w:val="32"/>
        </w:rPr>
        <w:t>中</w:t>
      </w:r>
      <w:r w:rsidRPr="004C2FDB">
        <w:rPr>
          <w:rFonts w:ascii="Times New Roman" w:eastAsia="仿宋_GB2312" w:hAnsi="Times New Roman"/>
          <w:bCs/>
          <w:sz w:val="32"/>
          <w:szCs w:val="32"/>
        </w:rPr>
        <w:t>转方式</w:t>
      </w:r>
      <w:r w:rsidRPr="004C2FDB">
        <w:rPr>
          <w:rFonts w:ascii="Times New Roman" w:eastAsia="仿宋_GB2312" w:hAnsi="Times New Roman" w:hint="eastAsia"/>
          <w:bCs/>
          <w:sz w:val="32"/>
          <w:szCs w:val="32"/>
        </w:rPr>
        <w:t>、拟</w:t>
      </w:r>
      <w:r w:rsidRPr="004C2FDB">
        <w:rPr>
          <w:rFonts w:ascii="Times New Roman" w:eastAsia="仿宋_GB2312" w:hAnsi="Times New Roman"/>
          <w:bCs/>
          <w:sz w:val="32"/>
          <w:szCs w:val="32"/>
        </w:rPr>
        <w:t>定向利用</w:t>
      </w:r>
      <w:r w:rsidRPr="004C2FDB">
        <w:rPr>
          <w:rFonts w:ascii="Times New Roman" w:eastAsia="仿宋_GB2312" w:hAnsi="Times New Roman" w:hint="eastAsia"/>
          <w:bCs/>
          <w:sz w:val="32"/>
          <w:szCs w:val="32"/>
        </w:rPr>
        <w:t>危险废物贮</w:t>
      </w:r>
      <w:r w:rsidRPr="004C2FDB">
        <w:rPr>
          <w:rFonts w:ascii="Times New Roman" w:eastAsia="仿宋_GB2312" w:hAnsi="Times New Roman"/>
          <w:bCs/>
          <w:sz w:val="32"/>
          <w:szCs w:val="32"/>
        </w:rPr>
        <w:t>存设施</w:t>
      </w:r>
      <w:r w:rsidRPr="004C2FDB">
        <w:rPr>
          <w:rFonts w:ascii="Times New Roman" w:eastAsia="仿宋_GB2312" w:hAnsi="Times New Roman" w:hint="eastAsia"/>
          <w:bCs/>
          <w:sz w:val="32"/>
          <w:szCs w:val="32"/>
        </w:rPr>
        <w:t>及贮存能力情况</w:t>
      </w:r>
      <w:r w:rsidRPr="004C2FDB">
        <w:rPr>
          <w:rFonts w:ascii="Times New Roman" w:eastAsia="仿宋_GB2312" w:hAnsi="Times New Roman"/>
          <w:bCs/>
          <w:sz w:val="32"/>
          <w:szCs w:val="32"/>
        </w:rPr>
        <w:t>、</w:t>
      </w:r>
      <w:r w:rsidRPr="004C2FDB">
        <w:rPr>
          <w:rFonts w:ascii="Times New Roman" w:eastAsia="仿宋_GB2312" w:hAnsi="Times New Roman" w:hint="eastAsia"/>
          <w:bCs/>
          <w:sz w:val="32"/>
          <w:szCs w:val="32"/>
        </w:rPr>
        <w:t>综合利用工艺和</w:t>
      </w:r>
      <w:r w:rsidRPr="004C2FDB">
        <w:rPr>
          <w:rFonts w:ascii="Times New Roman" w:eastAsia="仿宋_GB2312" w:hAnsi="Times New Roman"/>
          <w:bCs/>
          <w:sz w:val="32"/>
          <w:szCs w:val="32"/>
        </w:rPr>
        <w:t>设施</w:t>
      </w:r>
      <w:r w:rsidRPr="004C2FDB">
        <w:rPr>
          <w:rFonts w:ascii="Times New Roman" w:eastAsia="仿宋_GB2312" w:hAnsi="Times New Roman" w:hint="eastAsia"/>
          <w:bCs/>
          <w:sz w:val="32"/>
          <w:szCs w:val="32"/>
        </w:rPr>
        <w:t>、产品种类、</w:t>
      </w:r>
      <w:r w:rsidRPr="004C2FDB">
        <w:rPr>
          <w:rFonts w:ascii="Times New Roman" w:eastAsia="仿宋_GB2312" w:hAnsi="Times New Roman" w:hint="eastAsia"/>
          <w:bCs/>
          <w:sz w:val="32"/>
          <w:szCs w:val="32"/>
        </w:rPr>
        <w:lastRenderedPageBreak/>
        <w:t>规模及去向、二次固体废物（危险废物）产生、贮存、利用、处置情况，拟开展危险废物定向利用相关设施改造情况，是否属于重大变更的分析内容及结论，环评批复及验收情况；污染防治设施运行情况、近</w:t>
      </w:r>
      <w:r w:rsidRPr="004C2FDB">
        <w:rPr>
          <w:rFonts w:ascii="Times New Roman" w:eastAsia="仿宋_GB2312" w:hAnsi="Times New Roman"/>
          <w:bCs/>
          <w:sz w:val="32"/>
          <w:szCs w:val="32"/>
        </w:rPr>
        <w:t>一年</w:t>
      </w:r>
      <w:r w:rsidRPr="004C2FDB">
        <w:rPr>
          <w:rFonts w:ascii="Times New Roman" w:eastAsia="仿宋_GB2312" w:hAnsi="Times New Roman" w:hint="eastAsia"/>
          <w:bCs/>
          <w:sz w:val="32"/>
          <w:szCs w:val="32"/>
        </w:rPr>
        <w:t>污染物</w:t>
      </w:r>
      <w:r w:rsidRPr="004C2FDB">
        <w:rPr>
          <w:rFonts w:ascii="Times New Roman" w:eastAsia="仿宋_GB2312" w:hAnsi="Times New Roman"/>
          <w:bCs/>
          <w:sz w:val="32"/>
          <w:szCs w:val="32"/>
        </w:rPr>
        <w:t>排放达标</w:t>
      </w:r>
      <w:r w:rsidRPr="004C2FDB">
        <w:rPr>
          <w:rFonts w:ascii="Times New Roman" w:eastAsia="仿宋_GB2312" w:hAnsi="Times New Roman" w:hint="eastAsia"/>
          <w:bCs/>
          <w:sz w:val="32"/>
          <w:szCs w:val="32"/>
        </w:rPr>
        <w:t>情</w:t>
      </w:r>
      <w:r w:rsidRPr="004C2FDB">
        <w:rPr>
          <w:rFonts w:ascii="Times New Roman" w:eastAsia="仿宋_GB2312" w:hAnsi="Times New Roman"/>
          <w:bCs/>
          <w:sz w:val="32"/>
          <w:szCs w:val="32"/>
        </w:rPr>
        <w:t>况</w:t>
      </w:r>
      <w:r w:rsidRPr="004C2FDB">
        <w:rPr>
          <w:rFonts w:ascii="Times New Roman" w:eastAsia="仿宋_GB2312" w:hAnsi="Times New Roman" w:hint="eastAsia"/>
          <w:bCs/>
          <w:sz w:val="32"/>
          <w:szCs w:val="32"/>
        </w:rPr>
        <w:t>、突发环境事件应急预案备案情况、周边环境敏感点分布，其他环保管理情况，如环保部门设置、制度设置（包括针对拟定向利用的危险废物的相关管理制度）、近三年环保处罚与投诉等。</w:t>
      </w:r>
    </w:p>
    <w:p w14:paraId="49B6EFDE"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sz w:val="32"/>
          <w:szCs w:val="32"/>
        </w:rPr>
      </w:pPr>
      <w:r w:rsidRPr="004C2FDB">
        <w:rPr>
          <w:rFonts w:ascii="Times New Roman" w:eastAsia="仿宋_GB2312" w:hAnsi="Times New Roman" w:hint="eastAsia"/>
          <w:bCs/>
          <w:sz w:val="32"/>
          <w:szCs w:val="32"/>
        </w:rPr>
        <w:t xml:space="preserve">1.3 </w:t>
      </w:r>
      <w:r w:rsidRPr="004C2FDB">
        <w:rPr>
          <w:rFonts w:ascii="Times New Roman" w:eastAsia="仿宋_GB2312" w:hAnsi="Times New Roman" w:hint="eastAsia"/>
          <w:bCs/>
          <w:sz w:val="32"/>
          <w:szCs w:val="32"/>
        </w:rPr>
        <w:t>拟定向利用危险废物情况</w:t>
      </w:r>
      <w:r w:rsidRPr="004C2FDB">
        <w:rPr>
          <w:rFonts w:ascii="Times New Roman" w:eastAsia="仿宋_GB2312" w:hAnsi="Times New Roman" w:hint="eastAsia"/>
          <w:sz w:val="32"/>
          <w:szCs w:val="32"/>
        </w:rPr>
        <w:t xml:space="preserve"> </w:t>
      </w:r>
    </w:p>
    <w:p w14:paraId="0A1D01E6"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细化分析</w:t>
      </w:r>
      <w:proofErr w:type="gramStart"/>
      <w:r w:rsidRPr="004C2FDB">
        <w:rPr>
          <w:rFonts w:ascii="Times New Roman" w:eastAsia="仿宋_GB2312" w:hAnsi="Times New Roman" w:hint="eastAsia"/>
          <w:bCs/>
          <w:sz w:val="32"/>
          <w:szCs w:val="32"/>
        </w:rPr>
        <w:t>产废单位</w:t>
      </w:r>
      <w:proofErr w:type="gramEnd"/>
      <w:r w:rsidRPr="004C2FDB">
        <w:rPr>
          <w:rFonts w:ascii="Times New Roman" w:eastAsia="仿宋_GB2312" w:hAnsi="Times New Roman" w:hint="eastAsia"/>
          <w:bCs/>
          <w:sz w:val="32"/>
          <w:szCs w:val="32"/>
        </w:rPr>
        <w:t>危险废物产生环节、危险废物类别（代码）、危险废物特性、</w:t>
      </w:r>
      <w:proofErr w:type="gramStart"/>
      <w:r w:rsidRPr="004C2FDB">
        <w:rPr>
          <w:rFonts w:ascii="Times New Roman" w:eastAsia="仿宋_GB2312" w:hAnsi="Times New Roman" w:hint="eastAsia"/>
          <w:bCs/>
          <w:sz w:val="32"/>
          <w:szCs w:val="32"/>
        </w:rPr>
        <w:t>产废量</w:t>
      </w:r>
      <w:proofErr w:type="gramEnd"/>
      <w:r w:rsidRPr="004C2FDB">
        <w:rPr>
          <w:rFonts w:ascii="Times New Roman" w:eastAsia="仿宋_GB2312" w:hAnsi="Times New Roman" w:hint="eastAsia"/>
          <w:bCs/>
          <w:sz w:val="32"/>
          <w:szCs w:val="32"/>
        </w:rPr>
        <w:t>（</w:t>
      </w:r>
      <w:r w:rsidRPr="004C2FDB">
        <w:rPr>
          <w:rFonts w:ascii="Times New Roman" w:eastAsia="仿宋_GB2312" w:hAnsi="Times New Roman" w:hint="eastAsia"/>
          <w:bCs/>
          <w:sz w:val="32"/>
          <w:szCs w:val="32"/>
        </w:rPr>
        <w:t>*/</w:t>
      </w:r>
      <w:r w:rsidRPr="004C2FDB">
        <w:rPr>
          <w:rFonts w:ascii="Times New Roman" w:eastAsia="仿宋_GB2312" w:hAnsi="Times New Roman" w:hint="eastAsia"/>
          <w:bCs/>
          <w:sz w:val="32"/>
          <w:szCs w:val="32"/>
        </w:rPr>
        <w:t>年或</w:t>
      </w:r>
      <w:r w:rsidRPr="004C2FDB">
        <w:rPr>
          <w:rFonts w:ascii="Times New Roman" w:eastAsia="仿宋_GB2312" w:hAnsi="Times New Roman" w:hint="eastAsia"/>
          <w:bCs/>
          <w:sz w:val="32"/>
          <w:szCs w:val="32"/>
        </w:rPr>
        <w:t>*/</w:t>
      </w:r>
      <w:r w:rsidRPr="004C2FDB">
        <w:rPr>
          <w:rFonts w:ascii="Times New Roman" w:eastAsia="仿宋_GB2312" w:hAnsi="Times New Roman" w:hint="eastAsia"/>
          <w:bCs/>
          <w:sz w:val="32"/>
          <w:szCs w:val="32"/>
        </w:rPr>
        <w:t>天）、理化特性及其有毒有害成分、危险废物利用处置现状等</w:t>
      </w:r>
      <w:r w:rsidRPr="004C2FDB">
        <w:rPr>
          <w:rFonts w:ascii="Times New Roman" w:eastAsia="仿宋_GB2312" w:hAnsi="Times New Roman"/>
          <w:bCs/>
          <w:sz w:val="32"/>
          <w:szCs w:val="32"/>
        </w:rPr>
        <w:t>。</w:t>
      </w:r>
    </w:p>
    <w:p w14:paraId="15DE9DC3" w14:textId="77777777" w:rsidR="00623F5A" w:rsidRPr="004C2FDB" w:rsidRDefault="00623F5A" w:rsidP="00623F5A">
      <w:pPr>
        <w:overflowPunct w:val="0"/>
        <w:topLinePunct/>
        <w:spacing w:line="620" w:lineRule="exact"/>
        <w:ind w:firstLineChars="200" w:firstLine="640"/>
        <w:rPr>
          <w:rFonts w:ascii="Times New Roman" w:eastAsia="黑体" w:hAnsi="Times New Roman" w:cs="黑体"/>
          <w:bCs/>
          <w:sz w:val="32"/>
          <w:szCs w:val="32"/>
        </w:rPr>
      </w:pPr>
      <w:r w:rsidRPr="004C2FDB">
        <w:rPr>
          <w:rFonts w:ascii="Times New Roman" w:eastAsia="黑体" w:hAnsi="Times New Roman" w:cs="黑体" w:hint="eastAsia"/>
          <w:bCs/>
          <w:sz w:val="32"/>
          <w:szCs w:val="32"/>
        </w:rPr>
        <w:t>2</w:t>
      </w:r>
      <w:r w:rsidRPr="004C2FDB">
        <w:rPr>
          <w:rFonts w:ascii="Times New Roman" w:eastAsia="黑体" w:hAnsi="Times New Roman" w:cs="黑体" w:hint="eastAsia"/>
          <w:bCs/>
          <w:sz w:val="32"/>
          <w:szCs w:val="32"/>
        </w:rPr>
        <w:t>“点对点”利用可行性分析</w:t>
      </w:r>
    </w:p>
    <w:p w14:paraId="18570714"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 xml:space="preserve">2.1 </w:t>
      </w:r>
      <w:r w:rsidRPr="004C2FDB">
        <w:rPr>
          <w:rFonts w:ascii="Times New Roman" w:eastAsia="仿宋_GB2312" w:hAnsi="Times New Roman" w:hint="eastAsia"/>
          <w:bCs/>
          <w:sz w:val="32"/>
          <w:szCs w:val="32"/>
        </w:rPr>
        <w:t>利用单位技术可行性分析</w:t>
      </w:r>
    </w:p>
    <w:p w14:paraId="5DB73772"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简要介绍现阶段该危险废物综合利用现状，从产业政策符合性、技术先进成熟性、清洁生产要求（主要为二次危险废物</w:t>
      </w:r>
      <w:r w:rsidRPr="004C2FDB">
        <w:rPr>
          <w:rFonts w:ascii="Times New Roman" w:eastAsia="仿宋_GB2312" w:hAnsi="Times New Roman" w:hint="eastAsia"/>
          <w:bCs/>
          <w:sz w:val="32"/>
          <w:szCs w:val="32"/>
        </w:rPr>
        <w:t>/</w:t>
      </w:r>
      <w:r w:rsidRPr="004C2FDB">
        <w:rPr>
          <w:rFonts w:ascii="Times New Roman" w:eastAsia="仿宋_GB2312" w:hAnsi="Times New Roman" w:hint="eastAsia"/>
          <w:bCs/>
          <w:sz w:val="32"/>
          <w:szCs w:val="32"/>
        </w:rPr>
        <w:t>废物产生情况）等方面综合分析本项目技术可行性、适用性。分析综合利用工艺配套设施能力与危险废物利用种类、利用量适应性分析，危险废物接收标准，再生</w:t>
      </w:r>
      <w:r w:rsidRPr="004C2FDB">
        <w:rPr>
          <w:rFonts w:ascii="Times New Roman" w:eastAsia="仿宋_GB2312" w:hAnsi="Times New Roman" w:hint="eastAsia"/>
          <w:bCs/>
          <w:sz w:val="32"/>
          <w:szCs w:val="32"/>
        </w:rPr>
        <w:t>/</w:t>
      </w:r>
      <w:r w:rsidRPr="004C2FDB">
        <w:rPr>
          <w:rFonts w:ascii="Times New Roman" w:eastAsia="仿宋_GB2312" w:hAnsi="Times New Roman" w:hint="eastAsia"/>
          <w:bCs/>
          <w:sz w:val="32"/>
          <w:szCs w:val="32"/>
        </w:rPr>
        <w:t>利用危险废物产生的产品质量（</w:t>
      </w:r>
      <w:r w:rsidRPr="004C2FDB">
        <w:rPr>
          <w:rFonts w:ascii="Times New Roman" w:eastAsia="仿宋_GB2312" w:hAnsi="Times New Roman"/>
          <w:bCs/>
          <w:sz w:val="32"/>
          <w:szCs w:val="32"/>
        </w:rPr>
        <w:t>明确是否有国家标准、地方标准、行业标准等以及</w:t>
      </w:r>
      <w:r w:rsidRPr="004C2FDB">
        <w:rPr>
          <w:rFonts w:ascii="Times New Roman" w:eastAsia="仿宋_GB2312" w:hAnsi="Times New Roman" w:hint="eastAsia"/>
          <w:bCs/>
          <w:sz w:val="32"/>
          <w:szCs w:val="32"/>
        </w:rPr>
        <w:t>利</w:t>
      </w:r>
      <w:r w:rsidRPr="004C2FDB">
        <w:rPr>
          <w:rFonts w:ascii="Times New Roman" w:eastAsia="仿宋_GB2312" w:hAnsi="Times New Roman"/>
          <w:bCs/>
          <w:sz w:val="32"/>
          <w:szCs w:val="32"/>
        </w:rPr>
        <w:t>用单位执行</w:t>
      </w:r>
      <w:r w:rsidRPr="004C2FDB">
        <w:rPr>
          <w:rFonts w:ascii="Times New Roman" w:eastAsia="仿宋_GB2312" w:hAnsi="Times New Roman" w:hint="eastAsia"/>
          <w:bCs/>
          <w:sz w:val="32"/>
          <w:szCs w:val="32"/>
        </w:rPr>
        <w:t>标</w:t>
      </w:r>
      <w:r w:rsidRPr="004C2FDB">
        <w:rPr>
          <w:rFonts w:ascii="Times New Roman" w:eastAsia="仿宋_GB2312" w:hAnsi="Times New Roman"/>
          <w:bCs/>
          <w:sz w:val="32"/>
          <w:szCs w:val="32"/>
        </w:rPr>
        <w:t>准）</w:t>
      </w:r>
      <w:r w:rsidRPr="004C2FDB">
        <w:rPr>
          <w:rFonts w:ascii="Times New Roman" w:eastAsia="仿宋_GB2312" w:hAnsi="Times New Roman" w:hint="eastAsia"/>
          <w:bCs/>
          <w:sz w:val="32"/>
          <w:szCs w:val="32"/>
        </w:rPr>
        <w:t>、环境影响性分析。危险废物替代原料生产产品的，应细化危险废物对比替代原料的成</w:t>
      </w:r>
      <w:r w:rsidRPr="004C2FDB">
        <w:rPr>
          <w:rFonts w:ascii="Times New Roman" w:eastAsia="仿宋_GB2312" w:hAnsi="Times New Roman" w:hint="eastAsia"/>
          <w:bCs/>
          <w:sz w:val="32"/>
          <w:szCs w:val="32"/>
        </w:rPr>
        <w:lastRenderedPageBreak/>
        <w:t>分分析，以及对原生产过程的影响。可提供已开展的</w:t>
      </w:r>
      <w:r w:rsidRPr="004C2FDB">
        <w:rPr>
          <w:rFonts w:ascii="Times New Roman" w:eastAsia="仿宋_GB2312" w:hAnsi="Times New Roman" w:hint="eastAsia"/>
          <w:bCs/>
          <w:sz w:val="32"/>
          <w:szCs w:val="32"/>
          <w:shd w:val="clear" w:color="auto" w:fill="FFFFFF"/>
        </w:rPr>
        <w:t>中试及</w:t>
      </w:r>
      <w:r w:rsidRPr="004C2FDB">
        <w:rPr>
          <w:rFonts w:ascii="Times New Roman" w:eastAsia="仿宋_GB2312" w:hAnsi="Times New Roman" w:hint="eastAsia"/>
          <w:bCs/>
          <w:sz w:val="32"/>
          <w:szCs w:val="32"/>
        </w:rPr>
        <w:t>有关检测数据或类似已有工程运行情况。</w:t>
      </w:r>
    </w:p>
    <w:p w14:paraId="58D6FE8F"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 xml:space="preserve">2.2 </w:t>
      </w:r>
      <w:r w:rsidRPr="004C2FDB">
        <w:rPr>
          <w:rFonts w:ascii="Times New Roman" w:eastAsia="仿宋_GB2312" w:hAnsi="Times New Roman" w:hint="eastAsia"/>
          <w:bCs/>
          <w:sz w:val="32"/>
          <w:szCs w:val="32"/>
        </w:rPr>
        <w:t>利用过程环境风险分析</w:t>
      </w:r>
      <w:r w:rsidRPr="004C2FDB">
        <w:rPr>
          <w:rFonts w:ascii="Times New Roman" w:eastAsia="仿宋_GB2312" w:hAnsi="Times New Roman" w:hint="eastAsia"/>
          <w:bCs/>
          <w:sz w:val="32"/>
          <w:szCs w:val="32"/>
        </w:rPr>
        <w:t xml:space="preserve"> </w:t>
      </w:r>
    </w:p>
    <w:p w14:paraId="4AF08E3D"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从利用单位贮存条件和能力、“三废”处理措施等方面分析污染物排放达标可行性和相关环境风险（可从物料平衡的理论分析、中试实验的检测方面支撑、必要时开展环境影响预测与评价）；从利用单位管理机构、管理制度等方面分析环境风险防控能力及突发环境事件应急管控能力。从运输方式、运输距离、运输能力等方面分析危险废物运输环节环境风险（自建管道设施输送危险废物综合利用的，需论证其管道设施的安全性、可行性）。</w:t>
      </w:r>
      <w:r w:rsidRPr="004C2FDB">
        <w:rPr>
          <w:rFonts w:ascii="Times New Roman" w:eastAsia="仿宋_GB2312" w:hAnsi="Times New Roman" w:hint="eastAsia"/>
          <w:bCs/>
          <w:sz w:val="32"/>
          <w:szCs w:val="32"/>
        </w:rPr>
        <w:t xml:space="preserve"> </w:t>
      </w:r>
    </w:p>
    <w:p w14:paraId="098D8F48"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 xml:space="preserve">2.3 </w:t>
      </w:r>
      <w:r w:rsidRPr="004C2FDB">
        <w:rPr>
          <w:rFonts w:ascii="Times New Roman" w:eastAsia="仿宋_GB2312" w:hAnsi="Times New Roman" w:hint="eastAsia"/>
          <w:bCs/>
          <w:sz w:val="32"/>
          <w:szCs w:val="32"/>
        </w:rPr>
        <w:t>再生产品</w:t>
      </w:r>
      <w:r w:rsidRPr="004C2FDB">
        <w:rPr>
          <w:rFonts w:ascii="Times New Roman" w:eastAsia="仿宋_GB2312" w:hAnsi="Times New Roman" w:hint="eastAsia"/>
          <w:bCs/>
          <w:sz w:val="32"/>
          <w:szCs w:val="32"/>
          <w:shd w:val="clear" w:color="auto" w:fill="FFFFFF"/>
        </w:rPr>
        <w:t>去向</w:t>
      </w:r>
      <w:r w:rsidRPr="004C2FDB">
        <w:rPr>
          <w:rFonts w:ascii="Times New Roman" w:eastAsia="仿宋_GB2312" w:hAnsi="Times New Roman" w:hint="eastAsia"/>
          <w:bCs/>
          <w:sz w:val="32"/>
          <w:szCs w:val="32"/>
        </w:rPr>
        <w:t>及风险防控分析</w:t>
      </w:r>
      <w:r w:rsidRPr="004C2FDB">
        <w:rPr>
          <w:rFonts w:ascii="Times New Roman" w:eastAsia="仿宋_GB2312" w:hAnsi="Times New Roman" w:hint="eastAsia"/>
          <w:bCs/>
          <w:sz w:val="32"/>
          <w:szCs w:val="32"/>
        </w:rPr>
        <w:t xml:space="preserve"> </w:t>
      </w:r>
    </w:p>
    <w:p w14:paraId="16BE7DD2" w14:textId="77777777" w:rsidR="00623F5A" w:rsidRPr="004C2FDB" w:rsidRDefault="00623F5A" w:rsidP="00623F5A">
      <w:pPr>
        <w:overflowPunct w:val="0"/>
        <w:topLinePunct/>
        <w:spacing w:line="620" w:lineRule="exact"/>
        <w:ind w:firstLineChars="200" w:firstLine="640"/>
        <w:rPr>
          <w:rFonts w:ascii="Times New Roman" w:eastAsia="仿宋_GB2312" w:hAnsi="Times New Roman"/>
          <w:bCs/>
          <w:sz w:val="32"/>
          <w:szCs w:val="32"/>
        </w:rPr>
      </w:pPr>
      <w:r w:rsidRPr="004C2FDB">
        <w:rPr>
          <w:rFonts w:ascii="Times New Roman" w:eastAsia="仿宋_GB2312" w:hAnsi="Times New Roman" w:hint="eastAsia"/>
          <w:bCs/>
          <w:sz w:val="32"/>
          <w:szCs w:val="32"/>
        </w:rPr>
        <w:t>定向利用危险废物替代原料生产产品的，应明确再生产品</w:t>
      </w:r>
      <w:r w:rsidRPr="004C2FDB">
        <w:rPr>
          <w:rFonts w:ascii="Times New Roman" w:eastAsia="仿宋_GB2312" w:hAnsi="Times New Roman" w:hint="eastAsia"/>
          <w:bCs/>
          <w:sz w:val="32"/>
          <w:szCs w:val="32"/>
          <w:shd w:val="clear" w:color="auto" w:fill="FFFFFF"/>
        </w:rPr>
        <w:t>规</w:t>
      </w:r>
      <w:r w:rsidRPr="004C2FDB">
        <w:rPr>
          <w:rFonts w:ascii="Times New Roman" w:eastAsia="仿宋_GB2312" w:hAnsi="Times New Roman" w:hint="eastAsia"/>
          <w:bCs/>
          <w:sz w:val="32"/>
          <w:szCs w:val="32"/>
        </w:rPr>
        <w:t>模、用途、去向及相应质量控制措施，分</w:t>
      </w:r>
      <w:r w:rsidRPr="004C2FDB">
        <w:rPr>
          <w:rFonts w:ascii="Times New Roman" w:eastAsia="仿宋_GB2312" w:hAnsi="Times New Roman"/>
          <w:bCs/>
          <w:sz w:val="32"/>
          <w:szCs w:val="32"/>
        </w:rPr>
        <w:t>析</w:t>
      </w:r>
      <w:r w:rsidRPr="004C2FDB">
        <w:rPr>
          <w:rFonts w:ascii="Times New Roman" w:eastAsia="仿宋_GB2312" w:hAnsi="Times New Roman" w:hint="eastAsia"/>
          <w:bCs/>
          <w:sz w:val="32"/>
          <w:szCs w:val="32"/>
        </w:rPr>
        <w:t>再</w:t>
      </w:r>
      <w:r w:rsidRPr="004C2FDB">
        <w:rPr>
          <w:rFonts w:ascii="Times New Roman" w:eastAsia="仿宋_GB2312" w:hAnsi="Times New Roman"/>
          <w:bCs/>
          <w:sz w:val="32"/>
          <w:szCs w:val="32"/>
        </w:rPr>
        <w:t>生产品运用于下游企业的环境风险性，</w:t>
      </w:r>
      <w:r w:rsidRPr="004C2FDB">
        <w:rPr>
          <w:rFonts w:ascii="Times New Roman" w:eastAsia="仿宋_GB2312" w:hAnsi="Times New Roman" w:hint="eastAsia"/>
          <w:bCs/>
          <w:sz w:val="32"/>
          <w:szCs w:val="32"/>
        </w:rPr>
        <w:t>并根据相关行业</w:t>
      </w:r>
      <w:r w:rsidRPr="004C2FDB">
        <w:rPr>
          <w:rFonts w:ascii="Times New Roman" w:eastAsia="仿宋_GB2312" w:hAnsi="Times New Roman" w:hint="eastAsia"/>
          <w:bCs/>
          <w:sz w:val="32"/>
          <w:szCs w:val="32"/>
        </w:rPr>
        <w:t>/</w:t>
      </w:r>
      <w:r w:rsidRPr="004C2FDB">
        <w:rPr>
          <w:rFonts w:ascii="Times New Roman" w:eastAsia="仿宋_GB2312" w:hAnsi="Times New Roman" w:hint="eastAsia"/>
          <w:bCs/>
          <w:sz w:val="32"/>
          <w:szCs w:val="32"/>
        </w:rPr>
        <w:t>产品质量标准分析再生产品达标可行性及环境风险可控性。</w:t>
      </w:r>
    </w:p>
    <w:p w14:paraId="24EDB1C4" w14:textId="77777777" w:rsidR="00623F5A" w:rsidRPr="004C2FDB" w:rsidRDefault="00623F5A" w:rsidP="00623F5A">
      <w:pPr>
        <w:overflowPunct w:val="0"/>
        <w:topLinePunct/>
        <w:spacing w:line="620" w:lineRule="exact"/>
        <w:ind w:firstLineChars="200" w:firstLine="640"/>
        <w:rPr>
          <w:rFonts w:ascii="Times New Roman" w:eastAsia="黑体" w:hAnsi="Times New Roman" w:cs="黑体"/>
          <w:bCs/>
          <w:sz w:val="32"/>
          <w:szCs w:val="32"/>
        </w:rPr>
      </w:pPr>
      <w:r w:rsidRPr="004C2FDB">
        <w:rPr>
          <w:rFonts w:ascii="Times New Roman" w:eastAsia="黑体" w:hAnsi="Times New Roman" w:cs="黑体" w:hint="eastAsia"/>
          <w:bCs/>
          <w:sz w:val="32"/>
          <w:szCs w:val="32"/>
        </w:rPr>
        <w:t xml:space="preserve">3 </w:t>
      </w:r>
      <w:r w:rsidRPr="004C2FDB">
        <w:rPr>
          <w:rFonts w:ascii="Times New Roman" w:eastAsia="黑体" w:hAnsi="Times New Roman" w:cs="黑体" w:hint="eastAsia"/>
          <w:bCs/>
          <w:sz w:val="32"/>
          <w:szCs w:val="32"/>
        </w:rPr>
        <w:t>结论与建议</w:t>
      </w:r>
      <w:r w:rsidRPr="004C2FDB">
        <w:rPr>
          <w:rFonts w:ascii="Times New Roman" w:eastAsia="黑体" w:hAnsi="Times New Roman" w:cs="黑体" w:hint="eastAsia"/>
          <w:bCs/>
          <w:sz w:val="32"/>
          <w:szCs w:val="32"/>
        </w:rPr>
        <w:t xml:space="preserve"> </w:t>
      </w:r>
    </w:p>
    <w:p w14:paraId="4DC962D3" w14:textId="77777777" w:rsidR="00623F5A" w:rsidRPr="004C2FDB" w:rsidRDefault="00623F5A" w:rsidP="00623F5A">
      <w:pPr>
        <w:overflowPunct w:val="0"/>
        <w:topLinePunct/>
        <w:spacing w:line="620" w:lineRule="exact"/>
        <w:ind w:firstLineChars="200" w:firstLine="640"/>
        <w:rPr>
          <w:rFonts w:ascii="Times New Roman" w:hAnsi="Times New Roman"/>
          <w:bCs/>
        </w:rPr>
      </w:pPr>
      <w:r w:rsidRPr="004C2FDB">
        <w:rPr>
          <w:rFonts w:ascii="Times New Roman" w:eastAsia="仿宋_GB2312" w:hAnsi="Times New Roman" w:hint="eastAsia"/>
          <w:bCs/>
          <w:sz w:val="32"/>
          <w:szCs w:val="32"/>
        </w:rPr>
        <w:t>从生态环境、健康等角度，对危险废物点对点定向利用从原</w:t>
      </w:r>
      <w:r w:rsidRPr="004C2FDB">
        <w:rPr>
          <w:rFonts w:ascii="Times New Roman" w:eastAsia="仿宋_GB2312" w:hAnsi="Times New Roman"/>
          <w:bCs/>
          <w:sz w:val="32"/>
          <w:szCs w:val="32"/>
        </w:rPr>
        <w:t>料入厂</w:t>
      </w:r>
      <w:r w:rsidRPr="004C2FDB">
        <w:rPr>
          <w:rFonts w:ascii="Times New Roman" w:eastAsia="仿宋_GB2312" w:hAnsi="Times New Roman" w:hint="eastAsia"/>
          <w:bCs/>
          <w:sz w:val="32"/>
          <w:szCs w:val="32"/>
        </w:rPr>
        <w:t>符合</w:t>
      </w:r>
      <w:r w:rsidRPr="004C2FDB">
        <w:rPr>
          <w:rFonts w:ascii="Times New Roman" w:eastAsia="仿宋_GB2312" w:hAnsi="Times New Roman"/>
          <w:bCs/>
          <w:sz w:val="32"/>
          <w:szCs w:val="32"/>
        </w:rPr>
        <w:t>性、</w:t>
      </w:r>
      <w:r w:rsidRPr="004C2FDB">
        <w:rPr>
          <w:rFonts w:ascii="Times New Roman" w:eastAsia="仿宋_GB2312" w:hAnsi="Times New Roman" w:hint="eastAsia"/>
          <w:bCs/>
          <w:sz w:val="32"/>
          <w:szCs w:val="32"/>
        </w:rPr>
        <w:t>工艺技术可行性、环境风险可控性、污染物稳定达标排放等方面提出结论，</w:t>
      </w:r>
      <w:r w:rsidRPr="004C2FDB">
        <w:rPr>
          <w:rFonts w:ascii="Times New Roman" w:eastAsia="仿宋_GB2312" w:hAnsi="Times New Roman"/>
          <w:bCs/>
          <w:sz w:val="32"/>
          <w:szCs w:val="32"/>
        </w:rPr>
        <w:t>明确</w:t>
      </w:r>
      <w:r w:rsidRPr="004C2FDB">
        <w:rPr>
          <w:rFonts w:ascii="Times New Roman" w:eastAsia="仿宋_GB2312" w:hAnsi="Times New Roman" w:hint="eastAsia"/>
          <w:bCs/>
          <w:sz w:val="32"/>
          <w:szCs w:val="32"/>
        </w:rPr>
        <w:t>“</w:t>
      </w:r>
      <w:r w:rsidRPr="004C2FDB">
        <w:rPr>
          <w:rFonts w:ascii="Times New Roman" w:eastAsia="仿宋_GB2312" w:hAnsi="Times New Roman"/>
          <w:bCs/>
          <w:sz w:val="32"/>
          <w:szCs w:val="32"/>
        </w:rPr>
        <w:t>点对点</w:t>
      </w:r>
      <w:r w:rsidRPr="004C2FDB">
        <w:rPr>
          <w:rFonts w:ascii="Times New Roman" w:eastAsia="仿宋_GB2312" w:hAnsi="Times New Roman" w:hint="eastAsia"/>
          <w:bCs/>
          <w:sz w:val="32"/>
          <w:szCs w:val="32"/>
        </w:rPr>
        <w:t>”</w:t>
      </w:r>
      <w:r w:rsidRPr="004C2FDB">
        <w:rPr>
          <w:rFonts w:ascii="Times New Roman" w:eastAsia="仿宋_GB2312" w:hAnsi="Times New Roman"/>
          <w:bCs/>
          <w:sz w:val="32"/>
          <w:szCs w:val="32"/>
        </w:rPr>
        <w:t>定向利用是否可</w:t>
      </w:r>
      <w:r w:rsidRPr="004C2FDB">
        <w:rPr>
          <w:rFonts w:ascii="Times New Roman" w:eastAsia="仿宋_GB2312" w:hAnsi="Times New Roman" w:hint="eastAsia"/>
          <w:bCs/>
          <w:sz w:val="32"/>
          <w:szCs w:val="32"/>
        </w:rPr>
        <w:t>行。</w:t>
      </w:r>
    </w:p>
    <w:p w14:paraId="466AD884" w14:textId="77777777" w:rsidR="00284FCB" w:rsidRPr="00623F5A" w:rsidRDefault="00284FCB"/>
    <w:sectPr w:rsidR="00284FCB" w:rsidRPr="00623F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04C90" w14:textId="77777777" w:rsidR="001D4D94" w:rsidRDefault="001D4D94" w:rsidP="00623F5A">
      <w:r>
        <w:separator/>
      </w:r>
    </w:p>
  </w:endnote>
  <w:endnote w:type="continuationSeparator" w:id="0">
    <w:p w14:paraId="225EA0CB" w14:textId="77777777" w:rsidR="001D4D94" w:rsidRDefault="001D4D94" w:rsidP="0062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6B7DA" w14:textId="77777777" w:rsidR="001D4D94" w:rsidRDefault="001D4D94" w:rsidP="00623F5A">
      <w:r>
        <w:separator/>
      </w:r>
    </w:p>
  </w:footnote>
  <w:footnote w:type="continuationSeparator" w:id="0">
    <w:p w14:paraId="4A176E7E" w14:textId="77777777" w:rsidR="001D4D94" w:rsidRDefault="001D4D94" w:rsidP="00623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92"/>
    <w:rsid w:val="00001F92"/>
    <w:rsid w:val="001D4D94"/>
    <w:rsid w:val="00284FCB"/>
    <w:rsid w:val="00623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1A37BD-82C3-49EF-8A7F-CC978A6A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F5A"/>
    <w:pPr>
      <w:widowControl w:val="0"/>
      <w:jc w:val="both"/>
    </w:pPr>
    <w:rPr>
      <w:szCs w:val="24"/>
    </w:rPr>
  </w:style>
  <w:style w:type="paragraph" w:styleId="1">
    <w:name w:val="heading 1"/>
    <w:basedOn w:val="a"/>
    <w:next w:val="a"/>
    <w:link w:val="10"/>
    <w:qFormat/>
    <w:rsid w:val="00623F5A"/>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F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3F5A"/>
    <w:rPr>
      <w:sz w:val="18"/>
      <w:szCs w:val="18"/>
    </w:rPr>
  </w:style>
  <w:style w:type="paragraph" w:styleId="a5">
    <w:name w:val="footer"/>
    <w:basedOn w:val="a"/>
    <w:link w:val="a6"/>
    <w:uiPriority w:val="99"/>
    <w:unhideWhenUsed/>
    <w:rsid w:val="00623F5A"/>
    <w:pPr>
      <w:tabs>
        <w:tab w:val="center" w:pos="4153"/>
        <w:tab w:val="right" w:pos="8306"/>
      </w:tabs>
      <w:snapToGrid w:val="0"/>
      <w:jc w:val="left"/>
    </w:pPr>
    <w:rPr>
      <w:sz w:val="18"/>
      <w:szCs w:val="18"/>
    </w:rPr>
  </w:style>
  <w:style w:type="character" w:customStyle="1" w:styleId="a6">
    <w:name w:val="页脚 字符"/>
    <w:basedOn w:val="a0"/>
    <w:link w:val="a5"/>
    <w:uiPriority w:val="99"/>
    <w:rsid w:val="00623F5A"/>
    <w:rPr>
      <w:sz w:val="18"/>
      <w:szCs w:val="18"/>
    </w:rPr>
  </w:style>
  <w:style w:type="character" w:customStyle="1" w:styleId="10">
    <w:name w:val="标题 1 字符"/>
    <w:basedOn w:val="a0"/>
    <w:link w:val="1"/>
    <w:rsid w:val="00623F5A"/>
    <w:rPr>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2</cp:revision>
  <dcterms:created xsi:type="dcterms:W3CDTF">2022-09-05T09:50:00Z</dcterms:created>
  <dcterms:modified xsi:type="dcterms:W3CDTF">2022-09-05T09:50:00Z</dcterms:modified>
</cp:coreProperties>
</file>